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3E6" w:rsidRPr="008B4ED4" w:rsidRDefault="00EA03E6" w:rsidP="00B76079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  <w:r w:rsidRPr="008B4ED4">
        <w:rPr>
          <w:rFonts w:ascii="Times New Roman" w:eastAsia="Calibri" w:hAnsi="Times New Roman" w:cs="Times New Roman"/>
          <w:noProof/>
          <w:sz w:val="20"/>
          <w:szCs w:val="24"/>
        </w:rPr>
        <w:drawing>
          <wp:anchor distT="0" distB="0" distL="114300" distR="114300" simplePos="0" relativeHeight="251658752" behindDoc="0" locked="0" layoutInCell="1" allowOverlap="1" wp14:editId="386D115A">
            <wp:simplePos x="0" y="0"/>
            <wp:positionH relativeFrom="margin">
              <wp:posOffset>-1023382</wp:posOffset>
            </wp:positionH>
            <wp:positionV relativeFrom="margin">
              <wp:posOffset>-343455</wp:posOffset>
            </wp:positionV>
            <wp:extent cx="7809230" cy="1238250"/>
            <wp:effectExtent l="0" t="0" r="1270" b="0"/>
            <wp:wrapSquare wrapText="bothSides"/>
            <wp:docPr id="9" name="Obraz 9" descr="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923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079" w:rsidRPr="008B4ED4" w:rsidRDefault="00B76079" w:rsidP="00132DBA">
      <w:pPr>
        <w:spacing w:after="0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bookmarkStart w:id="0" w:name="_GoBack"/>
      <w:bookmarkEnd w:id="0"/>
    </w:p>
    <w:p w:rsidR="00D95B36" w:rsidRPr="008B4ED4" w:rsidRDefault="00D95B36" w:rsidP="00817FA8">
      <w:pPr>
        <w:pStyle w:val="Akapitzlist"/>
        <w:spacing w:after="120" w:line="23" w:lineRule="atLeast"/>
        <w:ind w:left="0"/>
        <w:contextualSpacing w:val="0"/>
        <w:jc w:val="center"/>
        <w:rPr>
          <w:b/>
          <w:sz w:val="28"/>
          <w:szCs w:val="28"/>
        </w:rPr>
      </w:pPr>
    </w:p>
    <w:p w:rsidR="005F3EAE" w:rsidRPr="008B4ED4" w:rsidRDefault="008D0EDC" w:rsidP="008D0EDC">
      <w:pPr>
        <w:pStyle w:val="Akapitzlist"/>
        <w:spacing w:after="120" w:line="23" w:lineRule="atLeast"/>
        <w:ind w:left="0"/>
        <w:contextualSpacing w:val="0"/>
        <w:jc w:val="center"/>
        <w:rPr>
          <w:b/>
          <w:sz w:val="28"/>
          <w:szCs w:val="28"/>
        </w:rPr>
      </w:pPr>
      <w:r w:rsidRPr="008B4ED4">
        <w:rPr>
          <w:b/>
          <w:sz w:val="28"/>
          <w:szCs w:val="28"/>
        </w:rPr>
        <w:t>Kart</w:t>
      </w:r>
      <w:r w:rsidR="007F004C">
        <w:rPr>
          <w:b/>
          <w:sz w:val="28"/>
          <w:szCs w:val="28"/>
        </w:rPr>
        <w:t xml:space="preserve">a </w:t>
      </w:r>
      <w:r w:rsidRPr="008B4ED4">
        <w:rPr>
          <w:b/>
          <w:sz w:val="28"/>
          <w:szCs w:val="28"/>
        </w:rPr>
        <w:t>Produktu „</w:t>
      </w:r>
      <w:r w:rsidR="002F1475" w:rsidRPr="008B4ED4">
        <w:rPr>
          <w:b/>
          <w:sz w:val="28"/>
          <w:szCs w:val="28"/>
        </w:rPr>
        <w:t>Poręczenie</w:t>
      </w:r>
      <w:r w:rsidRPr="008B4ED4">
        <w:rPr>
          <w:b/>
          <w:sz w:val="28"/>
          <w:szCs w:val="28"/>
        </w:rPr>
        <w:t>”</w:t>
      </w:r>
    </w:p>
    <w:p w:rsidR="005F3EAE" w:rsidRPr="008B4ED4" w:rsidRDefault="005F3EAE" w:rsidP="00817FA8">
      <w:pPr>
        <w:pStyle w:val="Akapitzlist"/>
        <w:spacing w:after="120" w:line="23" w:lineRule="atLeast"/>
        <w:ind w:left="0"/>
        <w:contextualSpacing w:val="0"/>
        <w:jc w:val="both"/>
        <w:rPr>
          <w:b/>
        </w:rPr>
      </w:pPr>
    </w:p>
    <w:p w:rsidR="007678C3" w:rsidRPr="008B4ED4" w:rsidRDefault="007678C3" w:rsidP="00D17F7A">
      <w:pPr>
        <w:pStyle w:val="Akapitzlist"/>
        <w:keepNext/>
        <w:numPr>
          <w:ilvl w:val="0"/>
          <w:numId w:val="5"/>
        </w:numPr>
        <w:spacing w:before="240" w:after="240" w:line="23" w:lineRule="atLeast"/>
        <w:ind w:left="284" w:hanging="295"/>
        <w:contextualSpacing w:val="0"/>
        <w:jc w:val="both"/>
        <w:rPr>
          <w:b/>
        </w:rPr>
      </w:pPr>
      <w:r w:rsidRPr="008B4ED4">
        <w:rPr>
          <w:b/>
        </w:rPr>
        <w:t xml:space="preserve">Podstawowe parametry </w:t>
      </w:r>
      <w:r w:rsidR="00CC1E53" w:rsidRPr="008B4ED4">
        <w:rPr>
          <w:b/>
        </w:rPr>
        <w:t xml:space="preserve">Jednostkowych </w:t>
      </w:r>
      <w:r w:rsidR="002F1475" w:rsidRPr="008B4ED4">
        <w:rPr>
          <w:b/>
        </w:rPr>
        <w:t>Poręczeń</w:t>
      </w:r>
    </w:p>
    <w:p w:rsidR="006D5D57" w:rsidRPr="008B4ED4" w:rsidRDefault="00E60EDC" w:rsidP="00D17F7A">
      <w:pPr>
        <w:pStyle w:val="Akapitzlist"/>
        <w:numPr>
          <w:ilvl w:val="0"/>
          <w:numId w:val="3"/>
        </w:numPr>
        <w:spacing w:after="120" w:line="23" w:lineRule="atLeast"/>
        <w:contextualSpacing w:val="0"/>
        <w:jc w:val="both"/>
      </w:pPr>
      <w:r w:rsidRPr="008B4ED4">
        <w:t>Wartość Jednostkowego Poręczenia wynosi</w:t>
      </w:r>
      <w:r w:rsidR="005932BC" w:rsidRPr="008B4ED4">
        <w:t xml:space="preserve"> do </w:t>
      </w:r>
      <w:r w:rsidR="005932BC" w:rsidRPr="008B4ED4">
        <w:rPr>
          <w:b/>
        </w:rPr>
        <w:t>500 000,00 zł</w:t>
      </w:r>
      <w:r w:rsidR="005932BC" w:rsidRPr="008B4ED4">
        <w:t>.</w:t>
      </w:r>
    </w:p>
    <w:p w:rsidR="00783460" w:rsidRPr="008B4ED4" w:rsidRDefault="00783460" w:rsidP="00783460">
      <w:pPr>
        <w:pStyle w:val="Akapitzlist"/>
        <w:numPr>
          <w:ilvl w:val="0"/>
          <w:numId w:val="3"/>
        </w:numPr>
        <w:jc w:val="both"/>
      </w:pPr>
      <w:r w:rsidRPr="008B4ED4">
        <w:t xml:space="preserve">Stopa Jednostkowego Poręczenia wynosi maksymalnie </w:t>
      </w:r>
      <w:r w:rsidRPr="008B4ED4">
        <w:rPr>
          <w:b/>
        </w:rPr>
        <w:t xml:space="preserve">75% </w:t>
      </w:r>
      <w:r w:rsidRPr="008B4ED4">
        <w:t>kwoty kapitału Kredytu wypłaconego w Okresie Budowy Portfela, bez odsetek, prowizji i innych zobowiązań Ostatecznego Odbiorcy związanych z otrzymanym Kredytem.</w:t>
      </w:r>
    </w:p>
    <w:p w:rsidR="00783460" w:rsidRPr="008B4ED4" w:rsidRDefault="00783460" w:rsidP="00255F5E">
      <w:pPr>
        <w:pStyle w:val="Akapitzlist"/>
        <w:numPr>
          <w:ilvl w:val="0"/>
          <w:numId w:val="3"/>
        </w:numPr>
        <w:ind w:left="714" w:hanging="357"/>
        <w:jc w:val="both"/>
      </w:pPr>
      <w:r w:rsidRPr="008B4ED4">
        <w:t xml:space="preserve">Stopa Jednostkowego Poręczenia wynosi maksymalnie </w:t>
      </w:r>
      <w:r w:rsidRPr="008B4ED4">
        <w:rPr>
          <w:b/>
        </w:rPr>
        <w:t>80%</w:t>
      </w:r>
      <w:r w:rsidRPr="008B4ED4">
        <w:t xml:space="preserve"> kwoty kapitału Kredytu wypłaconego w Okresie Budowy Portfela, bez odsetek, prowizji i innych zobowiązań Ostatecznego Odbiorcy związanych z otrzymanym Kredytem, którego cel wpisuje się w:</w:t>
      </w:r>
    </w:p>
    <w:p w:rsidR="00783460" w:rsidRPr="008B4ED4" w:rsidRDefault="00783460" w:rsidP="00783460">
      <w:pPr>
        <w:pStyle w:val="Akapitzlist"/>
        <w:numPr>
          <w:ilvl w:val="0"/>
          <w:numId w:val="14"/>
        </w:numPr>
        <w:spacing w:after="120" w:line="240" w:lineRule="auto"/>
        <w:ind w:left="1134" w:hanging="283"/>
        <w:contextualSpacing w:val="0"/>
        <w:jc w:val="both"/>
      </w:pPr>
      <w:r w:rsidRPr="008B4ED4">
        <w:t>finansowanie projektów realizowanych na wybranych Obszarach Strategicznej Interwencji</w:t>
      </w:r>
      <w:r w:rsidRPr="008B4ED4">
        <w:rPr>
          <w:rStyle w:val="Odwoanieprzypisudolnego"/>
        </w:rPr>
        <w:footnoteReference w:id="1"/>
      </w:r>
      <w:r w:rsidRPr="008B4ED4">
        <w:t xml:space="preserve"> tj.:</w:t>
      </w:r>
    </w:p>
    <w:p w:rsidR="00783460" w:rsidRPr="008B4ED4" w:rsidRDefault="00783460" w:rsidP="00783460">
      <w:pPr>
        <w:pStyle w:val="Akapitzlist"/>
        <w:numPr>
          <w:ilvl w:val="0"/>
          <w:numId w:val="16"/>
        </w:numPr>
        <w:spacing w:after="120" w:line="240" w:lineRule="auto"/>
        <w:ind w:left="1418"/>
        <w:contextualSpacing w:val="0"/>
        <w:jc w:val="both"/>
      </w:pPr>
      <w:r w:rsidRPr="008B4ED4">
        <w:t>Obszary peryferyzacji społeczno-gospodarczej;</w:t>
      </w:r>
    </w:p>
    <w:p w:rsidR="00783460" w:rsidRPr="008B4ED4" w:rsidRDefault="00783460" w:rsidP="00783460">
      <w:pPr>
        <w:pStyle w:val="Akapitzlist"/>
        <w:numPr>
          <w:ilvl w:val="0"/>
          <w:numId w:val="16"/>
        </w:numPr>
        <w:spacing w:after="120" w:line="240" w:lineRule="auto"/>
        <w:ind w:left="1418"/>
        <w:contextualSpacing w:val="0"/>
        <w:jc w:val="both"/>
      </w:pPr>
      <w:r w:rsidRPr="008B4ED4">
        <w:t>Obszary o słabym dostępie do usług publicznych;</w:t>
      </w:r>
    </w:p>
    <w:p w:rsidR="00783460" w:rsidRPr="008B4ED4" w:rsidRDefault="00783460" w:rsidP="00783460">
      <w:pPr>
        <w:pStyle w:val="Akapitzlist"/>
        <w:numPr>
          <w:ilvl w:val="0"/>
          <w:numId w:val="16"/>
        </w:numPr>
        <w:spacing w:after="120" w:line="240" w:lineRule="auto"/>
        <w:ind w:left="1418"/>
        <w:contextualSpacing w:val="0"/>
        <w:jc w:val="both"/>
      </w:pPr>
      <w:r w:rsidRPr="008B4ED4">
        <w:t>Obszary przygraniczne.</w:t>
      </w:r>
    </w:p>
    <w:p w:rsidR="00783460" w:rsidRPr="008B4ED4" w:rsidRDefault="00783460" w:rsidP="00255F5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1134" w:hanging="283"/>
        <w:contextualSpacing w:val="0"/>
        <w:jc w:val="both"/>
        <w:rPr>
          <w:rFonts w:cs="Calibri"/>
        </w:rPr>
      </w:pPr>
      <w:r w:rsidRPr="008B4ED4">
        <w:rPr>
          <w:rFonts w:cs="Calibri"/>
        </w:rPr>
        <w:t>inwestycje w obszarze inteligentnych specjalizacji województwa warmińsko – mazurskiego, tj.:</w:t>
      </w:r>
    </w:p>
    <w:p w:rsidR="00783460" w:rsidRPr="008B4ED4" w:rsidRDefault="00783460" w:rsidP="00255F5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1560"/>
        <w:contextualSpacing w:val="0"/>
        <w:jc w:val="both"/>
        <w:rPr>
          <w:rFonts w:cs="Calibri"/>
        </w:rPr>
      </w:pPr>
      <w:r w:rsidRPr="008B4ED4">
        <w:rPr>
          <w:rFonts w:cs="Calibri"/>
        </w:rPr>
        <w:t>drewno i meblarstwo;</w:t>
      </w:r>
    </w:p>
    <w:p w:rsidR="00783460" w:rsidRPr="008B4ED4" w:rsidRDefault="00783460" w:rsidP="00255F5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1560"/>
        <w:contextualSpacing w:val="0"/>
        <w:jc w:val="both"/>
        <w:rPr>
          <w:rFonts w:cs="Calibri"/>
        </w:rPr>
      </w:pPr>
      <w:r w:rsidRPr="008B4ED4">
        <w:rPr>
          <w:rFonts w:cs="Calibri"/>
        </w:rPr>
        <w:t>żywność wysokiej jakości;</w:t>
      </w:r>
    </w:p>
    <w:p w:rsidR="00783460" w:rsidRPr="008B4ED4" w:rsidRDefault="00783460" w:rsidP="0078346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1560"/>
        <w:contextualSpacing w:val="0"/>
        <w:jc w:val="both"/>
        <w:rPr>
          <w:rFonts w:cs="Calibri"/>
        </w:rPr>
      </w:pPr>
      <w:r w:rsidRPr="008B4ED4">
        <w:rPr>
          <w:rFonts w:cs="Calibri"/>
        </w:rPr>
        <w:t>ekonomia wody.</w:t>
      </w:r>
    </w:p>
    <w:p w:rsidR="00255F5E" w:rsidRPr="008B4ED4" w:rsidRDefault="00255F5E" w:rsidP="00255F5E">
      <w:pPr>
        <w:autoSpaceDE w:val="0"/>
        <w:autoSpaceDN w:val="0"/>
        <w:adjustRightInd w:val="0"/>
        <w:spacing w:after="120"/>
        <w:ind w:left="357"/>
        <w:jc w:val="both"/>
        <w:rPr>
          <w:rFonts w:cs="Calibri"/>
        </w:rPr>
      </w:pPr>
      <w:r w:rsidRPr="008B4ED4">
        <w:t>Poprzez inwestycje w ramach powyższych inteligentnych specjalizacji należy rozumieć takie, które muszą spełnić co najmniej dwa z poniższych warunków łącznie:</w:t>
      </w:r>
    </w:p>
    <w:p w:rsidR="00255F5E" w:rsidRPr="008B4ED4" w:rsidRDefault="00255F5E" w:rsidP="00255F5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60" w:after="120" w:line="320" w:lineRule="atLeast"/>
        <w:ind w:left="1208" w:hanging="357"/>
        <w:jc w:val="both"/>
        <w:rPr>
          <w:rFonts w:cs="Calibri"/>
          <w:szCs w:val="24"/>
        </w:rPr>
      </w:pPr>
      <w:r w:rsidRPr="008B4ED4">
        <w:rPr>
          <w:rFonts w:cs="Calibri"/>
          <w:szCs w:val="24"/>
        </w:rPr>
        <w:t xml:space="preserve">wpływ na eliminowanie negatywnego wpływu zagrożeń i/lub wpływ </w:t>
      </w:r>
      <w:r w:rsidRPr="008B4ED4">
        <w:rPr>
          <w:rFonts w:cs="Calibri"/>
          <w:szCs w:val="24"/>
        </w:rPr>
        <w:br/>
        <w:t>na wykorzystanie szans zdiagnozowanych w analizie SWOT</w:t>
      </w:r>
      <w:r w:rsidRPr="008B4ED4">
        <w:rPr>
          <w:rStyle w:val="Odwoanieprzypisudolnego"/>
          <w:rFonts w:cs="Calibri"/>
          <w:szCs w:val="24"/>
        </w:rPr>
        <w:footnoteReference w:id="2"/>
      </w:r>
      <w:r w:rsidRPr="008B4ED4">
        <w:rPr>
          <w:rFonts w:cs="Calibri"/>
          <w:szCs w:val="24"/>
        </w:rPr>
        <w:t xml:space="preserve"> dla danej inteligentnej specjalizacji,</w:t>
      </w:r>
    </w:p>
    <w:p w:rsidR="00255F5E" w:rsidRPr="008B4ED4" w:rsidRDefault="00255F5E" w:rsidP="00255F5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60" w:after="60" w:line="320" w:lineRule="atLeast"/>
        <w:ind w:left="1208" w:hanging="357"/>
        <w:jc w:val="both"/>
        <w:rPr>
          <w:rFonts w:cs="Calibri"/>
          <w:szCs w:val="24"/>
        </w:rPr>
      </w:pPr>
      <w:r w:rsidRPr="008B4ED4">
        <w:rPr>
          <w:rFonts w:cs="Calibri"/>
          <w:szCs w:val="24"/>
        </w:rPr>
        <w:t xml:space="preserve">wpływ na wzmocnienie silnych stron i/lub eliminację słabych stron zdiagnozowanych </w:t>
      </w:r>
      <w:r w:rsidRPr="008B4ED4">
        <w:rPr>
          <w:rFonts w:cs="Calibri"/>
          <w:szCs w:val="24"/>
        </w:rPr>
        <w:br/>
        <w:t>w analizie SWOT dla danej inteligentnej specjalizacji ,</w:t>
      </w:r>
    </w:p>
    <w:p w:rsidR="00255F5E" w:rsidRPr="008B4ED4" w:rsidRDefault="00255F5E" w:rsidP="00255F5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60" w:after="60" w:line="320" w:lineRule="atLeast"/>
        <w:ind w:left="1208" w:hanging="357"/>
        <w:jc w:val="both"/>
        <w:rPr>
          <w:rFonts w:cs="Calibri"/>
          <w:szCs w:val="24"/>
        </w:rPr>
      </w:pPr>
      <w:r w:rsidRPr="008B4ED4">
        <w:rPr>
          <w:rFonts w:cs="Calibri"/>
          <w:szCs w:val="24"/>
        </w:rPr>
        <w:t>dyfuzję wyników projektu na więcej niż jeden podmiot działający w obszarze danej inteligentnej specjalizacji,</w:t>
      </w:r>
    </w:p>
    <w:p w:rsidR="00255F5E" w:rsidRPr="008B4ED4" w:rsidRDefault="00255F5E" w:rsidP="00255F5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60" w:after="60" w:line="320" w:lineRule="atLeast"/>
        <w:ind w:left="1208" w:hanging="357"/>
        <w:jc w:val="both"/>
        <w:rPr>
          <w:rFonts w:cs="Calibri"/>
          <w:szCs w:val="24"/>
        </w:rPr>
      </w:pPr>
      <w:r w:rsidRPr="008B4ED4">
        <w:rPr>
          <w:rFonts w:cs="Calibri"/>
          <w:szCs w:val="24"/>
        </w:rPr>
        <w:lastRenderedPageBreak/>
        <w:t>stworzenie w wyniku projektu możliwości eksportowych w ramach danej specjalizacji i/lub generowanie potencjalnego wzrostu współpracy w europejskich łańcuchach wartości,</w:t>
      </w:r>
    </w:p>
    <w:p w:rsidR="00255F5E" w:rsidRPr="008B4ED4" w:rsidRDefault="00255F5E" w:rsidP="00255F5E">
      <w:pPr>
        <w:pStyle w:val="Akapitzlist"/>
        <w:numPr>
          <w:ilvl w:val="0"/>
          <w:numId w:val="18"/>
        </w:numPr>
        <w:spacing w:before="60" w:after="120" w:line="320" w:lineRule="atLeast"/>
        <w:ind w:left="1208" w:hanging="357"/>
        <w:jc w:val="both"/>
        <w:rPr>
          <w:rFonts w:cs="Calibri"/>
        </w:rPr>
      </w:pPr>
      <w:r w:rsidRPr="008B4ED4">
        <w:rPr>
          <w:rFonts w:cs="Calibri"/>
          <w:szCs w:val="24"/>
        </w:rPr>
        <w:t>wpływ na kreowanie współpracy pomiędzy środowiskiem naukowym, biznesowym, otoczeniem biznesu, administracją w obrębie co najmniej jednej specjalizacji w wyniku realizacji projektu.</w:t>
      </w:r>
    </w:p>
    <w:p w:rsidR="001D0F66" w:rsidRPr="008B4ED4" w:rsidRDefault="00A65AFF" w:rsidP="00D17F7A">
      <w:pPr>
        <w:pStyle w:val="Akapitzlist"/>
        <w:numPr>
          <w:ilvl w:val="0"/>
          <w:numId w:val="3"/>
        </w:numPr>
        <w:ind w:left="709"/>
        <w:jc w:val="both"/>
      </w:pPr>
      <w:r w:rsidRPr="008B4ED4">
        <w:t>Jednostkowe Poręczenie</w:t>
      </w:r>
      <w:r w:rsidR="003302F6" w:rsidRPr="008B4ED4">
        <w:t xml:space="preserve"> jest terminowe i obejmuje okres</w:t>
      </w:r>
      <w:r w:rsidR="00085596" w:rsidRPr="008B4ED4">
        <w:t>,</w:t>
      </w:r>
      <w:r w:rsidR="003302F6" w:rsidRPr="008B4ED4">
        <w:t xml:space="preserve"> na który udzielono Kredytu</w:t>
      </w:r>
      <w:r w:rsidR="002C26F3" w:rsidRPr="008B4ED4">
        <w:t xml:space="preserve"> wydłużony </w:t>
      </w:r>
      <w:r w:rsidR="00127D68" w:rsidRPr="008B4ED4">
        <w:rPr>
          <w:b/>
        </w:rPr>
        <w:t xml:space="preserve">o </w:t>
      </w:r>
      <w:r w:rsidR="003D6CF0" w:rsidRPr="008B4ED4">
        <w:rPr>
          <w:b/>
        </w:rPr>
        <w:t>3 miesiące</w:t>
      </w:r>
      <w:r w:rsidR="003302F6" w:rsidRPr="008B4ED4">
        <w:t xml:space="preserve">, przy czym maksymalny okres </w:t>
      </w:r>
      <w:r w:rsidR="00A70341" w:rsidRPr="008B4ED4">
        <w:t>trwania Jednostkowego Poręczenia</w:t>
      </w:r>
      <w:r w:rsidR="003302F6" w:rsidRPr="008B4ED4">
        <w:t xml:space="preserve"> </w:t>
      </w:r>
      <w:r w:rsidR="003302F6" w:rsidRPr="008B4ED4">
        <w:rPr>
          <w:b/>
        </w:rPr>
        <w:t xml:space="preserve">nie może być dłuższy niż 84 miesiące </w:t>
      </w:r>
      <w:r w:rsidR="00B62DBC" w:rsidRPr="008B4ED4">
        <w:rPr>
          <w:b/>
        </w:rPr>
        <w:t>od dnia zawarcia Umowy</w:t>
      </w:r>
      <w:r w:rsidR="00DD2560" w:rsidRPr="008B4ED4">
        <w:rPr>
          <w:b/>
        </w:rPr>
        <w:t xml:space="preserve"> o udzielanie</w:t>
      </w:r>
      <w:r w:rsidR="00B62DBC" w:rsidRPr="008B4ED4">
        <w:rPr>
          <w:b/>
        </w:rPr>
        <w:t xml:space="preserve"> Poręczenia</w:t>
      </w:r>
      <w:r w:rsidR="00AB6B09" w:rsidRPr="008B4ED4">
        <w:t>.</w:t>
      </w:r>
    </w:p>
    <w:p w:rsidR="00312D99" w:rsidRPr="008B4ED4" w:rsidRDefault="00F21737" w:rsidP="00255F5E">
      <w:pPr>
        <w:pStyle w:val="Akapitzlist"/>
        <w:numPr>
          <w:ilvl w:val="0"/>
          <w:numId w:val="3"/>
        </w:numPr>
        <w:jc w:val="both"/>
      </w:pPr>
      <w:r w:rsidRPr="008B4ED4">
        <w:t xml:space="preserve">Wartość Jednostkowego Poręczenia maleje </w:t>
      </w:r>
      <w:r w:rsidR="008F1222" w:rsidRPr="008B4ED4">
        <w:t xml:space="preserve">w czasie </w:t>
      </w:r>
      <w:r w:rsidRPr="008B4ED4">
        <w:t xml:space="preserve">wraz ze spłatą kapitału Kredytu zabezpieczonego Jednostkowym Poręczeniem i w żadnym momencie trwania Jednostkowego Poręczenia jego wartość w stosunku do kwoty kapitału Kredytu pozostałej do spłaty, nie przekracza </w:t>
      </w:r>
      <w:r w:rsidR="000D4400" w:rsidRPr="008B4ED4">
        <w:t>Stopy Jednostkowego Poręczenia</w:t>
      </w:r>
      <w:r w:rsidRPr="008B4ED4">
        <w:t xml:space="preserve">. </w:t>
      </w:r>
    </w:p>
    <w:p w:rsidR="001465A3" w:rsidRPr="008B4ED4" w:rsidRDefault="005F3EAE" w:rsidP="00D17F7A">
      <w:pPr>
        <w:pStyle w:val="Akapitzlist"/>
        <w:keepNext/>
        <w:numPr>
          <w:ilvl w:val="0"/>
          <w:numId w:val="5"/>
        </w:numPr>
        <w:spacing w:before="240" w:after="240" w:line="23" w:lineRule="atLeast"/>
        <w:ind w:left="284" w:hanging="295"/>
        <w:contextualSpacing w:val="0"/>
        <w:jc w:val="both"/>
        <w:rPr>
          <w:b/>
        </w:rPr>
      </w:pPr>
      <w:r w:rsidRPr="008B4ED4">
        <w:rPr>
          <w:b/>
        </w:rPr>
        <w:t>Obligatoryjne zasady dotyczące</w:t>
      </w:r>
      <w:r w:rsidR="001465A3" w:rsidRPr="008B4ED4">
        <w:rPr>
          <w:b/>
        </w:rPr>
        <w:t xml:space="preserve"> udzielania</w:t>
      </w:r>
      <w:r w:rsidR="003D7A43" w:rsidRPr="008B4ED4">
        <w:rPr>
          <w:b/>
        </w:rPr>
        <w:t xml:space="preserve"> oraz udokumentowania</w:t>
      </w:r>
      <w:r w:rsidR="001465A3" w:rsidRPr="008B4ED4">
        <w:rPr>
          <w:b/>
        </w:rPr>
        <w:t xml:space="preserve"> </w:t>
      </w:r>
      <w:r w:rsidR="00AE7DAF" w:rsidRPr="008B4ED4">
        <w:rPr>
          <w:b/>
        </w:rPr>
        <w:t>Jednostkowe</w:t>
      </w:r>
      <w:r w:rsidR="006567E9" w:rsidRPr="008B4ED4">
        <w:rPr>
          <w:b/>
        </w:rPr>
        <w:t>go</w:t>
      </w:r>
      <w:r w:rsidR="00AE7DAF" w:rsidRPr="008B4ED4">
        <w:rPr>
          <w:b/>
        </w:rPr>
        <w:t xml:space="preserve"> </w:t>
      </w:r>
      <w:r w:rsidR="006567E9" w:rsidRPr="008B4ED4">
        <w:rPr>
          <w:b/>
        </w:rPr>
        <w:t>Poręczenia</w:t>
      </w:r>
    </w:p>
    <w:p w:rsidR="009422C5" w:rsidRPr="008B4ED4" w:rsidRDefault="00055219" w:rsidP="00D17F7A">
      <w:pPr>
        <w:pStyle w:val="Akapitzlist"/>
        <w:numPr>
          <w:ilvl w:val="0"/>
          <w:numId w:val="4"/>
        </w:numPr>
        <w:spacing w:after="120" w:line="23" w:lineRule="atLeast"/>
        <w:ind w:left="709"/>
        <w:contextualSpacing w:val="0"/>
        <w:jc w:val="both"/>
      </w:pPr>
      <w:r w:rsidRPr="008B4ED4">
        <w:t>Jednostkow</w:t>
      </w:r>
      <w:r w:rsidR="006567E9" w:rsidRPr="008B4ED4">
        <w:t>e</w:t>
      </w:r>
      <w:r w:rsidRPr="008B4ED4">
        <w:t xml:space="preserve"> </w:t>
      </w:r>
      <w:r w:rsidR="006567E9" w:rsidRPr="008B4ED4">
        <w:t>Poręczenie</w:t>
      </w:r>
      <w:r w:rsidR="00EB2B86" w:rsidRPr="008B4ED4">
        <w:t xml:space="preserve"> </w:t>
      </w:r>
      <w:r w:rsidR="009422C5" w:rsidRPr="008B4ED4">
        <w:t>musi skutkować poprawą warunków na jakich Ostateczny Odbiorca otrzymuje Kredyt w stosunku do warunków na jakich by ten Kredyt otrzymał bez Jednostkowego Poręczenia</w:t>
      </w:r>
      <w:r w:rsidR="00084AA4" w:rsidRPr="008B4ED4">
        <w:t xml:space="preserve"> </w:t>
      </w:r>
      <w:r w:rsidR="00B97436" w:rsidRPr="008B4ED4">
        <w:t xml:space="preserve">lub </w:t>
      </w:r>
      <w:r w:rsidR="00084AA4" w:rsidRPr="008B4ED4">
        <w:t xml:space="preserve">w ogóle </w:t>
      </w:r>
      <w:r w:rsidR="00B97436" w:rsidRPr="008B4ED4">
        <w:t xml:space="preserve">stanowić warunek udzielenia </w:t>
      </w:r>
      <w:r w:rsidR="00084AA4" w:rsidRPr="008B4ED4">
        <w:t>Kredytu</w:t>
      </w:r>
      <w:r w:rsidR="009422C5" w:rsidRPr="008B4ED4">
        <w:t>. Poprawa warunków otrzymanego Kredytu musi dotyczyć:</w:t>
      </w:r>
    </w:p>
    <w:p w:rsidR="009422C5" w:rsidRPr="008B4ED4" w:rsidRDefault="009422C5" w:rsidP="00D17F7A">
      <w:pPr>
        <w:pStyle w:val="Akapitzlist"/>
        <w:numPr>
          <w:ilvl w:val="0"/>
          <w:numId w:val="10"/>
        </w:numPr>
        <w:spacing w:after="120" w:line="23" w:lineRule="atLeast"/>
        <w:ind w:left="1418"/>
        <w:contextualSpacing w:val="0"/>
        <w:jc w:val="both"/>
      </w:pPr>
      <w:r w:rsidRPr="008B4ED4">
        <w:t>niższego oprocentowania Kredytu, lub</w:t>
      </w:r>
    </w:p>
    <w:p w:rsidR="009422C5" w:rsidRPr="008B4ED4" w:rsidRDefault="009422C5" w:rsidP="00D17F7A">
      <w:pPr>
        <w:pStyle w:val="Akapitzlist"/>
        <w:numPr>
          <w:ilvl w:val="0"/>
          <w:numId w:val="10"/>
        </w:numPr>
        <w:spacing w:after="120" w:line="23" w:lineRule="atLeast"/>
        <w:ind w:left="1418"/>
        <w:contextualSpacing w:val="0"/>
        <w:jc w:val="both"/>
      </w:pPr>
      <w:r w:rsidRPr="008B4ED4">
        <w:t>niższego poziomu zabezpieczeń, lub</w:t>
      </w:r>
    </w:p>
    <w:p w:rsidR="000257C6" w:rsidRPr="008B4ED4" w:rsidRDefault="009422C5" w:rsidP="00D17F7A">
      <w:pPr>
        <w:pStyle w:val="Akapitzlist"/>
        <w:numPr>
          <w:ilvl w:val="0"/>
          <w:numId w:val="10"/>
        </w:numPr>
        <w:spacing w:after="120" w:line="23" w:lineRule="atLeast"/>
        <w:ind w:left="1418"/>
        <w:contextualSpacing w:val="0"/>
        <w:jc w:val="both"/>
      </w:pPr>
      <w:r w:rsidRPr="008B4ED4">
        <w:t>wyższej kwoty Kredytu skutkującej wyższym udziałem tego Kredytu w finansowaniu Inwestycji Ostatecznego Odbiorcy</w:t>
      </w:r>
      <w:r w:rsidR="00A555A1" w:rsidRPr="008B4ED4">
        <w:rPr>
          <w:rStyle w:val="Odwoanieprzypisudolnego"/>
        </w:rPr>
        <w:footnoteReference w:id="3"/>
      </w:r>
      <w:r w:rsidR="003C1539" w:rsidRPr="008B4ED4">
        <w:t>,</w:t>
      </w:r>
      <w:r w:rsidRPr="008B4ED4">
        <w:t xml:space="preserve"> </w:t>
      </w:r>
    </w:p>
    <w:p w:rsidR="00743948" w:rsidRPr="008B4ED4" w:rsidRDefault="001465A3" w:rsidP="00D17F7A">
      <w:pPr>
        <w:pStyle w:val="Akapitzlist"/>
        <w:numPr>
          <w:ilvl w:val="0"/>
          <w:numId w:val="4"/>
        </w:numPr>
        <w:spacing w:after="120" w:line="23" w:lineRule="atLeast"/>
        <w:contextualSpacing w:val="0"/>
        <w:jc w:val="both"/>
      </w:pPr>
      <w:r w:rsidRPr="008B4ED4">
        <w:t xml:space="preserve">Udzielenie </w:t>
      </w:r>
      <w:r w:rsidR="00CC1E53" w:rsidRPr="008B4ED4">
        <w:t>Jednostkowe</w:t>
      </w:r>
      <w:r w:rsidR="008D364E" w:rsidRPr="008B4ED4">
        <w:t>go</w:t>
      </w:r>
      <w:r w:rsidR="00CC1E53" w:rsidRPr="008B4ED4">
        <w:t xml:space="preserve"> </w:t>
      </w:r>
      <w:r w:rsidR="008D364E" w:rsidRPr="008B4ED4">
        <w:t xml:space="preserve">Poręczenia </w:t>
      </w:r>
      <w:r w:rsidRPr="008B4ED4">
        <w:t>nie może być uzależnione od zawarcia przez Ostatecznego Odbiorcę</w:t>
      </w:r>
      <w:r w:rsidR="00B07133" w:rsidRPr="008B4ED4">
        <w:t xml:space="preserve"> z Pośrednikiem Finansowym lub jakimkolwiek innym podmiotem</w:t>
      </w:r>
      <w:r w:rsidRPr="008B4ED4">
        <w:t xml:space="preserve"> dodatkowych umów</w:t>
      </w:r>
      <w:r w:rsidR="00F116B4" w:rsidRPr="008B4ED4">
        <w:t xml:space="preserve"> innych niż </w:t>
      </w:r>
      <w:r w:rsidR="00476239" w:rsidRPr="008B4ED4">
        <w:t xml:space="preserve">Umowa </w:t>
      </w:r>
      <w:r w:rsidR="00F116B4" w:rsidRPr="008B4ED4">
        <w:t>Kredytu</w:t>
      </w:r>
      <w:r w:rsidR="00732688" w:rsidRPr="008B4ED4">
        <w:t xml:space="preserve"> </w:t>
      </w:r>
      <w:r w:rsidR="00476239" w:rsidRPr="008B4ED4">
        <w:t>oraz Umowa</w:t>
      </w:r>
      <w:r w:rsidR="00C64973" w:rsidRPr="008B4ED4">
        <w:t xml:space="preserve"> o udzielenie</w:t>
      </w:r>
      <w:r w:rsidR="00476239" w:rsidRPr="008B4ED4">
        <w:t xml:space="preserve"> Poręczenia</w:t>
      </w:r>
      <w:r w:rsidR="00743948" w:rsidRPr="008B4ED4">
        <w:t xml:space="preserve">, </w:t>
      </w:r>
      <w:r w:rsidR="002F733D" w:rsidRPr="008B4ED4">
        <w:br/>
      </w:r>
      <w:r w:rsidRPr="008B4ED4">
        <w:t>w szczególności dotyczących zakupu dodatkowych usług</w:t>
      </w:r>
      <w:r w:rsidR="00EE07F6" w:rsidRPr="008B4ED4">
        <w:t xml:space="preserve">, </w:t>
      </w:r>
      <w:r w:rsidR="002612FF" w:rsidRPr="008B4ED4">
        <w:t>produktów finansowych lub ubezpieczeniowych</w:t>
      </w:r>
      <w:r w:rsidR="00887CAA" w:rsidRPr="008B4ED4">
        <w:t>.</w:t>
      </w:r>
    </w:p>
    <w:p w:rsidR="00373041" w:rsidRPr="008B4ED4" w:rsidRDefault="00656F49" w:rsidP="00D17F7A">
      <w:pPr>
        <w:pStyle w:val="Akapitzlist"/>
        <w:numPr>
          <w:ilvl w:val="0"/>
          <w:numId w:val="4"/>
        </w:numPr>
        <w:spacing w:after="120" w:line="23" w:lineRule="atLeast"/>
        <w:contextualSpacing w:val="0"/>
        <w:jc w:val="both"/>
      </w:pPr>
      <w:r w:rsidRPr="008B4ED4">
        <w:t>Postanowienia</w:t>
      </w:r>
      <w:r w:rsidR="00887CAA" w:rsidRPr="008B4ED4">
        <w:t xml:space="preserve"> </w:t>
      </w:r>
      <w:r w:rsidR="00015E89" w:rsidRPr="008B4ED4">
        <w:t>pkt II.</w:t>
      </w:r>
      <w:r w:rsidR="005F1159" w:rsidRPr="008B4ED4">
        <w:t>2</w:t>
      </w:r>
      <w:r w:rsidR="00015E89" w:rsidRPr="008B4ED4">
        <w:t>.</w:t>
      </w:r>
      <w:r w:rsidR="00887CAA" w:rsidRPr="008B4ED4">
        <w:t xml:space="preserve"> powyżej</w:t>
      </w:r>
      <w:r w:rsidR="001465A3" w:rsidRPr="008B4ED4">
        <w:t xml:space="preserve"> nie dotycz</w:t>
      </w:r>
      <w:r w:rsidRPr="008B4ED4">
        <w:t>ą</w:t>
      </w:r>
      <w:r w:rsidR="001465A3" w:rsidRPr="008B4ED4">
        <w:t xml:space="preserve"> </w:t>
      </w:r>
      <w:r w:rsidR="003408A3" w:rsidRPr="008B4ED4">
        <w:t>powszechnie występujących na rynku oraz standardowo stosowanych przez Pośrednika Finansowego</w:t>
      </w:r>
      <w:r w:rsidR="00F116B4" w:rsidRPr="008B4ED4">
        <w:t xml:space="preserve"> lub </w:t>
      </w:r>
      <w:r w:rsidR="00AE124C" w:rsidRPr="008B4ED4">
        <w:t>I</w:t>
      </w:r>
      <w:r w:rsidR="00F116B4" w:rsidRPr="008B4ED4">
        <w:t xml:space="preserve">nstytucję </w:t>
      </w:r>
      <w:r w:rsidR="00AE124C" w:rsidRPr="008B4ED4">
        <w:t>F</w:t>
      </w:r>
      <w:r w:rsidR="00F116B4" w:rsidRPr="008B4ED4">
        <w:t>inansową</w:t>
      </w:r>
      <w:r w:rsidR="003408A3" w:rsidRPr="008B4ED4">
        <w:t xml:space="preserve"> </w:t>
      </w:r>
      <w:r w:rsidR="001465A3" w:rsidRPr="008B4ED4">
        <w:t>zabezpieczeń ustanawianych przez Ostatecznego Odbiorcę na rzecz Pośrednika Finansowego</w:t>
      </w:r>
      <w:r w:rsidR="00F116B4" w:rsidRPr="008B4ED4">
        <w:t xml:space="preserve"> lub </w:t>
      </w:r>
      <w:r w:rsidR="00AE124C" w:rsidRPr="008B4ED4">
        <w:t>I</w:t>
      </w:r>
      <w:r w:rsidR="00F116B4" w:rsidRPr="008B4ED4">
        <w:t xml:space="preserve">nstytucji </w:t>
      </w:r>
      <w:r w:rsidR="00AE124C" w:rsidRPr="008B4ED4">
        <w:t>F</w:t>
      </w:r>
      <w:r w:rsidR="00F116B4" w:rsidRPr="008B4ED4">
        <w:t>inansowej</w:t>
      </w:r>
      <w:r w:rsidR="001465A3" w:rsidRPr="008B4ED4">
        <w:t xml:space="preserve"> w związku z zawieraną </w:t>
      </w:r>
      <w:r w:rsidR="00732688" w:rsidRPr="008B4ED4">
        <w:t>U</w:t>
      </w:r>
      <w:r w:rsidR="001465A3" w:rsidRPr="008B4ED4">
        <w:t>mową</w:t>
      </w:r>
      <w:r w:rsidR="00DF57F8" w:rsidRPr="008B4ED4">
        <w:t xml:space="preserve"> Kredytu lub</w:t>
      </w:r>
      <w:r w:rsidR="001465A3" w:rsidRPr="008B4ED4">
        <w:t xml:space="preserve"> </w:t>
      </w:r>
      <w:r w:rsidR="00914A5E" w:rsidRPr="008B4ED4">
        <w:t>Umową</w:t>
      </w:r>
      <w:r w:rsidR="00C64973" w:rsidRPr="008B4ED4">
        <w:t xml:space="preserve"> o udzielenie</w:t>
      </w:r>
      <w:r w:rsidR="00914A5E" w:rsidRPr="008B4ED4">
        <w:t xml:space="preserve"> </w:t>
      </w:r>
      <w:r w:rsidR="00813F33" w:rsidRPr="008B4ED4">
        <w:t>Poręczenia</w:t>
      </w:r>
      <w:r w:rsidR="00B904C3" w:rsidRPr="008B4ED4">
        <w:t xml:space="preserve">, z zastrzeżeniem, iż w przypadku zabezpieczenia takiego jak „cesja praw z polisy ubezpieczeniowej” Ostateczny Odbiorca ma możliwość wyboru oferty spośród ubezpieczycieli </w:t>
      </w:r>
      <w:r w:rsidR="00E6141A" w:rsidRPr="008B4ED4">
        <w:t>ogólno</w:t>
      </w:r>
      <w:r w:rsidR="00B904C3" w:rsidRPr="008B4ED4">
        <w:t>dostępnych na rynku.</w:t>
      </w:r>
    </w:p>
    <w:p w:rsidR="003D7A43" w:rsidRPr="008B4ED4" w:rsidRDefault="00BF3408" w:rsidP="00D17F7A">
      <w:pPr>
        <w:pStyle w:val="Akapitzlist"/>
        <w:numPr>
          <w:ilvl w:val="0"/>
          <w:numId w:val="4"/>
        </w:numPr>
        <w:spacing w:after="120" w:line="23" w:lineRule="atLeast"/>
        <w:jc w:val="both"/>
      </w:pPr>
      <w:r w:rsidRPr="008B4ED4">
        <w:t>Wymagane jest p</w:t>
      </w:r>
      <w:r w:rsidR="003D7A43" w:rsidRPr="008B4ED4">
        <w:t xml:space="preserve">otwierdzenie prawidłowości udzielenia każdego Jednostkowego Poręczenia, w tym potwierdzenie wykorzystania środków Kredytu zgodnie z celem określonym </w:t>
      </w:r>
      <w:r w:rsidR="00C07185" w:rsidRPr="008B4ED4">
        <w:br/>
      </w:r>
      <w:r w:rsidR="003D7A43" w:rsidRPr="008B4ED4">
        <w:t>w Umowie oraz Umowie o udzielenie Poręczenia</w:t>
      </w:r>
      <w:r w:rsidR="002F733D" w:rsidRPr="008B4ED4">
        <w:t>.</w:t>
      </w:r>
    </w:p>
    <w:p w:rsidR="00255F5E" w:rsidRPr="008B4ED4" w:rsidRDefault="00255F5E" w:rsidP="00255F5E">
      <w:pPr>
        <w:spacing w:after="120" w:line="23" w:lineRule="atLeast"/>
        <w:jc w:val="both"/>
      </w:pPr>
    </w:p>
    <w:p w:rsidR="00D17F7A" w:rsidRPr="008B4ED4" w:rsidRDefault="008F2983" w:rsidP="00D17F7A">
      <w:pPr>
        <w:pStyle w:val="Akapitzlist"/>
        <w:keepNext/>
        <w:numPr>
          <w:ilvl w:val="0"/>
          <w:numId w:val="5"/>
        </w:numPr>
        <w:spacing w:before="240" w:after="240" w:line="23" w:lineRule="atLeast"/>
        <w:ind w:left="284" w:hanging="295"/>
        <w:contextualSpacing w:val="0"/>
        <w:jc w:val="both"/>
        <w:rPr>
          <w:b/>
        </w:rPr>
      </w:pPr>
      <w:r w:rsidRPr="008B4ED4">
        <w:rPr>
          <w:b/>
        </w:rPr>
        <w:t xml:space="preserve">Przeznaczenie </w:t>
      </w:r>
      <w:r w:rsidR="00D55B08" w:rsidRPr="008B4ED4">
        <w:rPr>
          <w:b/>
        </w:rPr>
        <w:t>finansowania</w:t>
      </w:r>
      <w:r w:rsidRPr="008B4ED4">
        <w:rPr>
          <w:b/>
        </w:rPr>
        <w:t xml:space="preserve"> (Cele Inwestycji)</w:t>
      </w:r>
      <w:r w:rsidR="00D17F7A" w:rsidRPr="008B4ED4">
        <w:rPr>
          <w:b/>
        </w:rPr>
        <w:t>:</w:t>
      </w:r>
    </w:p>
    <w:p w:rsidR="00D17F7A" w:rsidRPr="008B4ED4" w:rsidRDefault="00D17F7A" w:rsidP="00D17F7A">
      <w:pPr>
        <w:numPr>
          <w:ilvl w:val="0"/>
          <w:numId w:val="1"/>
        </w:numPr>
        <w:spacing w:after="120" w:line="23" w:lineRule="atLeast"/>
        <w:ind w:left="426" w:hanging="426"/>
        <w:jc w:val="both"/>
      </w:pPr>
      <w:r w:rsidRPr="008B4ED4">
        <w:t>W ramach instrumentu finansowane będą przedsięwzięcia rozwojowe Ostatecznych Odbiorców, realizowane na terenie województwa warmińsko - mazurskiego:</w:t>
      </w:r>
    </w:p>
    <w:p w:rsidR="00D17F7A" w:rsidRPr="008B4ED4" w:rsidRDefault="00D17F7A" w:rsidP="00D17F7A">
      <w:pPr>
        <w:spacing w:after="120" w:line="23" w:lineRule="atLeast"/>
        <w:ind w:left="426"/>
        <w:jc w:val="both"/>
      </w:pPr>
      <w:r w:rsidRPr="008B4ED4">
        <w:lastRenderedPageBreak/>
        <w:t>Cel 1 Poprawa potencjału konkurencyjnego przedsiębiorstw;</w:t>
      </w:r>
    </w:p>
    <w:p w:rsidR="00D17F7A" w:rsidRPr="008B4ED4" w:rsidRDefault="00D17F7A" w:rsidP="00D17F7A">
      <w:pPr>
        <w:spacing w:after="120" w:line="23" w:lineRule="atLeast"/>
        <w:ind w:left="426"/>
        <w:jc w:val="both"/>
      </w:pPr>
      <w:r w:rsidRPr="008B4ED4">
        <w:t>Cel 2 Podniesienie zdolności do rozszerzenia oferty o nowe produkty lub usługi;</w:t>
      </w:r>
    </w:p>
    <w:p w:rsidR="00D17F7A" w:rsidRPr="008B4ED4" w:rsidRDefault="00D17F7A" w:rsidP="0024663B">
      <w:pPr>
        <w:spacing w:after="120" w:line="23" w:lineRule="atLeast"/>
        <w:jc w:val="both"/>
      </w:pPr>
      <w:r w:rsidRPr="008B4ED4">
        <w:t xml:space="preserve">Ww. cele realizowane są m.in. poprzez ustanowienie dodatkowego zabezpieczenia </w:t>
      </w:r>
      <w:r w:rsidR="00C07185" w:rsidRPr="008B4ED4">
        <w:br/>
      </w:r>
      <w:r w:rsidRPr="008B4ED4">
        <w:t xml:space="preserve">w szczególności kredytów (pożyczek), a w rezultacie ułatwienie przedsiębiorstwom, które nie posiadają wystarczających zabezpieczeń, dostępu do kapitału zewnętrznego. </w:t>
      </w:r>
    </w:p>
    <w:p w:rsidR="00614CDD" w:rsidRPr="008B4ED4" w:rsidRDefault="00614CDD" w:rsidP="00D17F7A">
      <w:pPr>
        <w:pStyle w:val="Akapitzlist"/>
        <w:keepNext/>
        <w:numPr>
          <w:ilvl w:val="0"/>
          <w:numId w:val="5"/>
        </w:numPr>
        <w:spacing w:before="240" w:after="240" w:line="23" w:lineRule="atLeast"/>
        <w:ind w:left="284" w:hanging="295"/>
        <w:contextualSpacing w:val="0"/>
        <w:jc w:val="both"/>
        <w:rPr>
          <w:b/>
        </w:rPr>
      </w:pPr>
      <w:r w:rsidRPr="008B4ED4">
        <w:rPr>
          <w:b/>
        </w:rPr>
        <w:t>Wykluczenia z finansowania</w:t>
      </w:r>
    </w:p>
    <w:p w:rsidR="00636B95" w:rsidRPr="008B4ED4" w:rsidRDefault="00636B95" w:rsidP="00D17F7A">
      <w:pPr>
        <w:pStyle w:val="Akapitzlist"/>
        <w:numPr>
          <w:ilvl w:val="0"/>
          <w:numId w:val="8"/>
        </w:numPr>
        <w:spacing w:after="120"/>
        <w:ind w:left="709" w:hanging="357"/>
        <w:contextualSpacing w:val="0"/>
        <w:jc w:val="both"/>
      </w:pPr>
      <w:r w:rsidRPr="008B4ED4">
        <w:t>Jednostkowe Poręczenie nie może stanowić zabezpieczenia:</w:t>
      </w:r>
    </w:p>
    <w:p w:rsidR="00C5074A" w:rsidRPr="008B4ED4" w:rsidRDefault="00636B95" w:rsidP="00D17F7A">
      <w:pPr>
        <w:pStyle w:val="Akapitzlist"/>
        <w:numPr>
          <w:ilvl w:val="1"/>
          <w:numId w:val="9"/>
        </w:numPr>
        <w:spacing w:after="120" w:line="23" w:lineRule="atLeast"/>
        <w:ind w:left="993"/>
        <w:contextualSpacing w:val="0"/>
        <w:jc w:val="both"/>
      </w:pPr>
      <w:r w:rsidRPr="008B4ED4">
        <w:t>Kredytów udzielanych ze środków publicznych</w:t>
      </w:r>
      <w:r w:rsidR="006C3479" w:rsidRPr="008B4ED4">
        <w:t>;</w:t>
      </w:r>
    </w:p>
    <w:p w:rsidR="00C5074A" w:rsidRPr="008B4ED4" w:rsidRDefault="00C5074A" w:rsidP="00D17F7A">
      <w:pPr>
        <w:pStyle w:val="Akapitzlist"/>
        <w:numPr>
          <w:ilvl w:val="1"/>
          <w:numId w:val="9"/>
        </w:numPr>
        <w:spacing w:after="120" w:line="23" w:lineRule="atLeast"/>
        <w:ind w:left="993"/>
        <w:contextualSpacing w:val="0"/>
        <w:jc w:val="both"/>
      </w:pPr>
      <w:r w:rsidRPr="008B4ED4">
        <w:t>Kredytów wypłaconych przed dniem udzielenia Jednostkowego Poręczenia;</w:t>
      </w:r>
    </w:p>
    <w:p w:rsidR="00C5074A" w:rsidRPr="008B4ED4" w:rsidRDefault="00C5074A" w:rsidP="00D17F7A">
      <w:pPr>
        <w:pStyle w:val="Akapitzlist"/>
        <w:numPr>
          <w:ilvl w:val="1"/>
          <w:numId w:val="9"/>
        </w:numPr>
        <w:spacing w:after="120" w:line="23" w:lineRule="atLeast"/>
        <w:ind w:left="993"/>
        <w:contextualSpacing w:val="0"/>
        <w:jc w:val="both"/>
      </w:pPr>
      <w:r w:rsidRPr="008B4ED4">
        <w:t>leasingu zwrotnego;</w:t>
      </w:r>
    </w:p>
    <w:p w:rsidR="00C5074A" w:rsidRPr="008B4ED4" w:rsidRDefault="00C5074A" w:rsidP="00D17F7A">
      <w:pPr>
        <w:pStyle w:val="Akapitzlist"/>
        <w:numPr>
          <w:ilvl w:val="1"/>
          <w:numId w:val="9"/>
        </w:numPr>
        <w:spacing w:after="120" w:line="23" w:lineRule="atLeast"/>
        <w:ind w:left="993"/>
        <w:contextualSpacing w:val="0"/>
        <w:jc w:val="both"/>
      </w:pPr>
      <w:r w:rsidRPr="008B4ED4">
        <w:t>leasingu</w:t>
      </w:r>
      <w:r w:rsidR="00085596" w:rsidRPr="008B4ED4">
        <w:t>,</w:t>
      </w:r>
      <w:r w:rsidRPr="008B4ED4">
        <w:t xml:space="preserve"> w ramach którego Instytucja Finansowa nie zobowiązała się do przeniesienia prawa własności przedmiotu leasingu na Ostatecznego Odbiorcę najpóźniej w dniu rozwiązania lub wygaśnięcia umowy leasingu;</w:t>
      </w:r>
    </w:p>
    <w:p w:rsidR="00C5074A" w:rsidRPr="008B4ED4" w:rsidRDefault="00C5074A" w:rsidP="00D17F7A">
      <w:pPr>
        <w:pStyle w:val="Akapitzlist"/>
        <w:numPr>
          <w:ilvl w:val="1"/>
          <w:numId w:val="9"/>
        </w:numPr>
        <w:spacing w:after="120" w:line="23" w:lineRule="atLeast"/>
        <w:ind w:left="993"/>
        <w:contextualSpacing w:val="0"/>
        <w:jc w:val="both"/>
      </w:pPr>
      <w:r w:rsidRPr="008B4ED4">
        <w:t>leasingu</w:t>
      </w:r>
      <w:r w:rsidR="00085596" w:rsidRPr="008B4ED4">
        <w:t>,</w:t>
      </w:r>
      <w:r w:rsidRPr="008B4ED4">
        <w:t xml:space="preserve"> w ramach którego przedmiot leasingu został wydany Ostatecznemu Odbiorcy przed dniem udzielenia Jednostkowego Poręczenia</w:t>
      </w:r>
      <w:r w:rsidR="00816488" w:rsidRPr="008B4ED4">
        <w:t>.</w:t>
      </w:r>
    </w:p>
    <w:p w:rsidR="00614CDD" w:rsidRPr="008B4ED4" w:rsidRDefault="006B4780" w:rsidP="00D17F7A">
      <w:pPr>
        <w:pStyle w:val="Akapitzlist"/>
        <w:numPr>
          <w:ilvl w:val="0"/>
          <w:numId w:val="8"/>
        </w:numPr>
        <w:spacing w:after="120"/>
        <w:ind w:left="709" w:hanging="357"/>
        <w:contextualSpacing w:val="0"/>
        <w:jc w:val="both"/>
      </w:pPr>
      <w:r w:rsidRPr="008B4ED4">
        <w:t>Kredyty objęte Jednostkowym Poręczeniem</w:t>
      </w:r>
      <w:r w:rsidR="008F2983" w:rsidRPr="008B4ED4">
        <w:t xml:space="preserve"> nie mogą być przeznaczone na:</w:t>
      </w:r>
    </w:p>
    <w:p w:rsidR="00D6349E" w:rsidRPr="008B4ED4" w:rsidRDefault="00D6349E" w:rsidP="00D17F7A">
      <w:pPr>
        <w:pStyle w:val="Akapitzlist"/>
        <w:numPr>
          <w:ilvl w:val="0"/>
          <w:numId w:val="2"/>
        </w:numPr>
        <w:spacing w:after="120" w:line="23" w:lineRule="atLeast"/>
        <w:ind w:left="993"/>
        <w:contextualSpacing w:val="0"/>
        <w:jc w:val="both"/>
      </w:pPr>
      <w:r w:rsidRPr="008B4ED4">
        <w:t>finansowanie wydatków pokrytych uprzednio ze środków EFSI, z innych funduszy, programów, środków i instrumentów Unii Europejskiej lub innych źródeł pomocy krajowej lub zagranicznej</w:t>
      </w:r>
      <w:r w:rsidR="006C3479" w:rsidRPr="008B4ED4">
        <w:t>;</w:t>
      </w:r>
    </w:p>
    <w:p w:rsidR="00C5074A" w:rsidRPr="008B4ED4" w:rsidRDefault="00C043CB" w:rsidP="00D17F7A">
      <w:pPr>
        <w:pStyle w:val="Akapitzlist"/>
        <w:numPr>
          <w:ilvl w:val="0"/>
          <w:numId w:val="2"/>
        </w:numPr>
        <w:spacing w:after="120" w:line="23" w:lineRule="atLeast"/>
        <w:ind w:left="993"/>
        <w:contextualSpacing w:val="0"/>
        <w:jc w:val="both"/>
      </w:pPr>
      <w:r w:rsidRPr="008B4ED4">
        <w:t>pre</w:t>
      </w:r>
      <w:r w:rsidR="00C5074A" w:rsidRPr="008B4ED4">
        <w:t xml:space="preserve">finansowanie </w:t>
      </w:r>
      <w:r w:rsidR="006C3479" w:rsidRPr="008B4ED4">
        <w:t>wydatków</w:t>
      </w:r>
      <w:r w:rsidR="00085596" w:rsidRPr="008B4ED4">
        <w:t>,</w:t>
      </w:r>
      <w:r w:rsidR="006C3479" w:rsidRPr="008B4ED4">
        <w:t xml:space="preserve"> na które otrzymano dofinansowanie </w:t>
      </w:r>
      <w:r w:rsidRPr="008B4ED4">
        <w:t xml:space="preserve">w formie </w:t>
      </w:r>
      <w:r w:rsidR="00C5074A" w:rsidRPr="008B4ED4">
        <w:t>dotacj</w:t>
      </w:r>
      <w:r w:rsidR="006C3479" w:rsidRPr="008B4ED4">
        <w:t>i</w:t>
      </w:r>
      <w:r w:rsidRPr="008B4ED4">
        <w:t xml:space="preserve"> lub pomocy zwrotnej</w:t>
      </w:r>
      <w:r w:rsidR="006C3479" w:rsidRPr="008B4ED4">
        <w:t>;</w:t>
      </w:r>
    </w:p>
    <w:p w:rsidR="00D6349E" w:rsidRPr="008B4ED4" w:rsidRDefault="00D6349E" w:rsidP="00D17F7A">
      <w:pPr>
        <w:pStyle w:val="Akapitzlist"/>
        <w:numPr>
          <w:ilvl w:val="0"/>
          <w:numId w:val="2"/>
        </w:numPr>
        <w:spacing w:after="120" w:line="23" w:lineRule="atLeast"/>
        <w:ind w:left="993"/>
        <w:contextualSpacing w:val="0"/>
        <w:jc w:val="both"/>
      </w:pPr>
      <w:r w:rsidRPr="008B4ED4">
        <w:t xml:space="preserve">refinansowanie inwestycji, które w dniu podjęcia decyzji </w:t>
      </w:r>
      <w:r w:rsidR="006C3479" w:rsidRPr="008B4ED4">
        <w:t xml:space="preserve">o udzieleniu Kredytu </w:t>
      </w:r>
      <w:r w:rsidR="005A665E" w:rsidRPr="008B4ED4">
        <w:t xml:space="preserve">przez </w:t>
      </w:r>
      <w:r w:rsidR="00420344" w:rsidRPr="008B4ED4">
        <w:t>I</w:t>
      </w:r>
      <w:r w:rsidR="005A665E" w:rsidRPr="008B4ED4">
        <w:t xml:space="preserve">nstytucję </w:t>
      </w:r>
      <w:r w:rsidR="00420344" w:rsidRPr="008B4ED4">
        <w:t>F</w:t>
      </w:r>
      <w:r w:rsidR="005A665E" w:rsidRPr="008B4ED4">
        <w:t>inansową</w:t>
      </w:r>
      <w:r w:rsidRPr="008B4ED4">
        <w:t xml:space="preserve"> zostały fizycznie ukończone lub w pełni wdrożone;</w:t>
      </w:r>
    </w:p>
    <w:p w:rsidR="00E10FA7" w:rsidRPr="008B4ED4" w:rsidRDefault="00E10FA7" w:rsidP="00D17F7A">
      <w:pPr>
        <w:pStyle w:val="Akapitzlist"/>
        <w:numPr>
          <w:ilvl w:val="0"/>
          <w:numId w:val="2"/>
        </w:numPr>
        <w:spacing w:after="120" w:line="23" w:lineRule="atLeast"/>
        <w:ind w:left="993"/>
        <w:contextualSpacing w:val="0"/>
        <w:jc w:val="both"/>
      </w:pPr>
      <w:r w:rsidRPr="008B4ED4">
        <w:t>refinansowanie jakichkolwiek pożyczek, kredytów lub rat leasingowych;</w:t>
      </w:r>
    </w:p>
    <w:p w:rsidR="0038795D" w:rsidRPr="008B4ED4" w:rsidRDefault="0038795D" w:rsidP="00D17F7A">
      <w:pPr>
        <w:pStyle w:val="Akapitzlist"/>
        <w:numPr>
          <w:ilvl w:val="0"/>
          <w:numId w:val="2"/>
        </w:numPr>
        <w:spacing w:after="120" w:line="23" w:lineRule="atLeast"/>
        <w:ind w:left="993"/>
        <w:contextualSpacing w:val="0"/>
        <w:jc w:val="both"/>
      </w:pPr>
      <w:r w:rsidRPr="008B4ED4">
        <w:t>spłat</w:t>
      </w:r>
      <w:r w:rsidR="00636B95" w:rsidRPr="008B4ED4">
        <w:t>ę</w:t>
      </w:r>
      <w:r w:rsidRPr="008B4ED4">
        <w:t xml:space="preserve"> </w:t>
      </w:r>
      <w:r w:rsidR="003A504B" w:rsidRPr="008B4ED4">
        <w:t xml:space="preserve">zobowiązań </w:t>
      </w:r>
      <w:proofErr w:type="spellStart"/>
      <w:r w:rsidR="003A504B" w:rsidRPr="008B4ED4">
        <w:t>publiczno</w:t>
      </w:r>
      <w:proofErr w:type="spellEnd"/>
      <w:r w:rsidR="003A504B" w:rsidRPr="008B4ED4">
        <w:t xml:space="preserve"> </w:t>
      </w:r>
      <w:r w:rsidR="00085596" w:rsidRPr="008B4ED4">
        <w:t xml:space="preserve">- </w:t>
      </w:r>
      <w:r w:rsidR="003A504B" w:rsidRPr="008B4ED4">
        <w:t>prawnych;</w:t>
      </w:r>
    </w:p>
    <w:p w:rsidR="00C5074A" w:rsidRPr="008B4ED4" w:rsidRDefault="00E10FA7" w:rsidP="00D17F7A">
      <w:pPr>
        <w:pStyle w:val="Akapitzlist"/>
        <w:numPr>
          <w:ilvl w:val="0"/>
          <w:numId w:val="2"/>
        </w:numPr>
        <w:spacing w:after="120" w:line="23" w:lineRule="atLeast"/>
        <w:ind w:left="993"/>
        <w:contextualSpacing w:val="0"/>
        <w:jc w:val="both"/>
      </w:pPr>
      <w:r w:rsidRPr="008B4ED4">
        <w:t xml:space="preserve">finansowanie wydatków niezwiązanych bezpośrednio z </w:t>
      </w:r>
      <w:r w:rsidR="008127D1" w:rsidRPr="008B4ED4">
        <w:t>C</w:t>
      </w:r>
      <w:r w:rsidRPr="008B4ED4">
        <w:t>el</w:t>
      </w:r>
      <w:r w:rsidR="008432FF" w:rsidRPr="008B4ED4">
        <w:t>a</w:t>
      </w:r>
      <w:r w:rsidRPr="008B4ED4">
        <w:t>m</w:t>
      </w:r>
      <w:r w:rsidR="008432FF" w:rsidRPr="008B4ED4">
        <w:t>i</w:t>
      </w:r>
      <w:r w:rsidRPr="008B4ED4">
        <w:t xml:space="preserve"> </w:t>
      </w:r>
      <w:r w:rsidR="005F1159" w:rsidRPr="008B4ED4">
        <w:t>I</w:t>
      </w:r>
      <w:r w:rsidRPr="008B4ED4">
        <w:t>nwestycji</w:t>
      </w:r>
      <w:r w:rsidR="008432FF" w:rsidRPr="008B4ED4">
        <w:t>,</w:t>
      </w:r>
      <w:r w:rsidRPr="008B4ED4">
        <w:t xml:space="preserve"> określonym</w:t>
      </w:r>
      <w:r w:rsidR="00816488" w:rsidRPr="008B4ED4">
        <w:t>i</w:t>
      </w:r>
      <w:r w:rsidRPr="008B4ED4">
        <w:t xml:space="preserve"> </w:t>
      </w:r>
      <w:r w:rsidR="00B14D18" w:rsidRPr="008B4ED4">
        <w:br/>
      </w:r>
      <w:r w:rsidRPr="008B4ED4">
        <w:t xml:space="preserve">w </w:t>
      </w:r>
      <w:r w:rsidR="004800E1" w:rsidRPr="008B4ED4">
        <w:t>części</w:t>
      </w:r>
      <w:r w:rsidRPr="008B4ED4">
        <w:t xml:space="preserve"> </w:t>
      </w:r>
      <w:r w:rsidR="008D0EDC" w:rsidRPr="008B4ED4">
        <w:t xml:space="preserve">III </w:t>
      </w:r>
      <w:r w:rsidRPr="008B4ED4">
        <w:t>powyżej;</w:t>
      </w:r>
    </w:p>
    <w:p w:rsidR="002A07D2" w:rsidRPr="008B4ED4" w:rsidRDefault="00C5074A" w:rsidP="00D17F7A">
      <w:pPr>
        <w:pStyle w:val="Akapitzlist"/>
        <w:numPr>
          <w:ilvl w:val="0"/>
          <w:numId w:val="2"/>
        </w:numPr>
        <w:spacing w:after="120" w:line="23" w:lineRule="atLeast"/>
        <w:ind w:left="993"/>
        <w:contextualSpacing w:val="0"/>
        <w:jc w:val="both"/>
      </w:pPr>
      <w:r w:rsidRPr="008B4ED4">
        <w:t>finansowanie zakupu aktywów finansowych</w:t>
      </w:r>
      <w:r w:rsidR="002A07D2" w:rsidRPr="008B4ED4">
        <w:t xml:space="preserve"> przeznaczonych do obrotu;</w:t>
      </w:r>
    </w:p>
    <w:p w:rsidR="00C5074A" w:rsidRPr="008B4ED4" w:rsidRDefault="002A07D2" w:rsidP="00D17F7A">
      <w:pPr>
        <w:pStyle w:val="Akapitzlist"/>
        <w:numPr>
          <w:ilvl w:val="0"/>
          <w:numId w:val="2"/>
        </w:numPr>
        <w:spacing w:after="120" w:line="23" w:lineRule="atLeast"/>
        <w:ind w:left="993"/>
        <w:contextualSpacing w:val="0"/>
        <w:jc w:val="both"/>
      </w:pPr>
      <w:r w:rsidRPr="008B4ED4">
        <w:t>finansowanie nieruchomości przeznaczonych do obrotu</w:t>
      </w:r>
      <w:r w:rsidR="003A504B" w:rsidRPr="008B4ED4">
        <w:t>;</w:t>
      </w:r>
    </w:p>
    <w:p w:rsidR="00E10FA7" w:rsidRPr="008B4ED4" w:rsidRDefault="00E10FA7" w:rsidP="00D17F7A">
      <w:pPr>
        <w:pStyle w:val="Akapitzlist"/>
        <w:numPr>
          <w:ilvl w:val="0"/>
          <w:numId w:val="2"/>
        </w:numPr>
        <w:spacing w:after="120" w:line="23" w:lineRule="atLeast"/>
        <w:ind w:left="993"/>
        <w:contextualSpacing w:val="0"/>
        <w:jc w:val="both"/>
      </w:pPr>
      <w:r w:rsidRPr="008B4ED4">
        <w:t xml:space="preserve">finansowanie kształcenia, szkolenia, szkolenia zawodowego pracowników lub innych przedsięwzięć bezpośrednio objętych zakresem rozporządzenia Parlamentu Europejskiego </w:t>
      </w:r>
      <w:r w:rsidR="00F75CDC" w:rsidRPr="008B4ED4">
        <w:t>i </w:t>
      </w:r>
      <w:r w:rsidRPr="008B4ED4">
        <w:t>Rady (UE) nr 1304/2013 w sprawie Europejskiego Funduszu Społecznego;</w:t>
      </w:r>
    </w:p>
    <w:p w:rsidR="00835117" w:rsidRPr="008B4ED4" w:rsidRDefault="00835117" w:rsidP="00D17F7A">
      <w:pPr>
        <w:pStyle w:val="Akapitzlist"/>
        <w:numPr>
          <w:ilvl w:val="0"/>
          <w:numId w:val="2"/>
        </w:numPr>
        <w:spacing w:after="120" w:line="23" w:lineRule="atLeast"/>
        <w:ind w:left="993"/>
        <w:contextualSpacing w:val="0"/>
        <w:jc w:val="both"/>
      </w:pPr>
      <w:r w:rsidRPr="008B4ED4">
        <w:t xml:space="preserve">finansowanie działalności w zakresie wytwarzania, przetwórstwa lub wprowadzania </w:t>
      </w:r>
      <w:r w:rsidR="00C07185" w:rsidRPr="008B4ED4">
        <w:br/>
      </w:r>
      <w:r w:rsidRPr="008B4ED4">
        <w:t>do obrotu tytoniu i wyrobów tytoniowych;</w:t>
      </w:r>
    </w:p>
    <w:p w:rsidR="00835117" w:rsidRPr="008B4ED4" w:rsidRDefault="00835117" w:rsidP="00D17F7A">
      <w:pPr>
        <w:pStyle w:val="Akapitzlist"/>
        <w:numPr>
          <w:ilvl w:val="0"/>
          <w:numId w:val="2"/>
        </w:numPr>
        <w:spacing w:after="120" w:line="23" w:lineRule="atLeast"/>
        <w:ind w:left="993"/>
        <w:contextualSpacing w:val="0"/>
        <w:jc w:val="both"/>
      </w:pPr>
      <w:r w:rsidRPr="008B4ED4">
        <w:t>finansowanie działalności w zakresie produkcji lub wprowadzania do obrotu napojów alkoholowych;</w:t>
      </w:r>
    </w:p>
    <w:p w:rsidR="00835117" w:rsidRPr="008B4ED4" w:rsidRDefault="00835117" w:rsidP="00D17F7A">
      <w:pPr>
        <w:pStyle w:val="Akapitzlist"/>
        <w:numPr>
          <w:ilvl w:val="0"/>
          <w:numId w:val="2"/>
        </w:numPr>
        <w:spacing w:after="120" w:line="23" w:lineRule="atLeast"/>
        <w:ind w:left="993"/>
        <w:contextualSpacing w:val="0"/>
        <w:jc w:val="both"/>
      </w:pPr>
      <w:r w:rsidRPr="008B4ED4">
        <w:t xml:space="preserve">finansowanie działalności w zakresie produkcji lub wprowadzania do obrotu </w:t>
      </w:r>
      <w:r w:rsidR="00567D7A" w:rsidRPr="008B4ED4">
        <w:t xml:space="preserve">przez producenta lub importera </w:t>
      </w:r>
      <w:r w:rsidRPr="008B4ED4">
        <w:t>treści pornograficznych;</w:t>
      </w:r>
    </w:p>
    <w:p w:rsidR="00835117" w:rsidRPr="008B4ED4" w:rsidRDefault="00FB10B5" w:rsidP="00D17F7A">
      <w:pPr>
        <w:pStyle w:val="Akapitzlist"/>
        <w:numPr>
          <w:ilvl w:val="0"/>
          <w:numId w:val="2"/>
        </w:numPr>
        <w:spacing w:after="120" w:line="23" w:lineRule="atLeast"/>
        <w:ind w:left="993"/>
        <w:contextualSpacing w:val="0"/>
        <w:jc w:val="both"/>
      </w:pPr>
      <w:r w:rsidRPr="008B4ED4">
        <w:t>finansowanie działalności w zakresie</w:t>
      </w:r>
      <w:r w:rsidR="00C5074A" w:rsidRPr="008B4ED4">
        <w:t xml:space="preserve"> produkcji lub wprowadzania do</w:t>
      </w:r>
      <w:r w:rsidRPr="008B4ED4">
        <w:t xml:space="preserve"> </w:t>
      </w:r>
      <w:r w:rsidR="00835117" w:rsidRPr="008B4ED4">
        <w:t>obrotu materiał</w:t>
      </w:r>
      <w:r w:rsidR="00C5074A" w:rsidRPr="008B4ED4">
        <w:t>ów</w:t>
      </w:r>
      <w:r w:rsidR="00835117" w:rsidRPr="008B4ED4">
        <w:t xml:space="preserve"> wybuchowy</w:t>
      </w:r>
      <w:r w:rsidR="00C5074A" w:rsidRPr="008B4ED4">
        <w:t>ch</w:t>
      </w:r>
      <w:r w:rsidR="00835117" w:rsidRPr="008B4ED4">
        <w:t>, broni i amunicj</w:t>
      </w:r>
      <w:r w:rsidR="00C5074A" w:rsidRPr="008B4ED4">
        <w:t>i</w:t>
      </w:r>
      <w:r w:rsidR="00835117" w:rsidRPr="008B4ED4">
        <w:t>;</w:t>
      </w:r>
    </w:p>
    <w:p w:rsidR="00835117" w:rsidRPr="008B4ED4" w:rsidRDefault="00FB10B5" w:rsidP="00D17F7A">
      <w:pPr>
        <w:pStyle w:val="Akapitzlist"/>
        <w:numPr>
          <w:ilvl w:val="0"/>
          <w:numId w:val="2"/>
        </w:numPr>
        <w:spacing w:after="120" w:line="23" w:lineRule="atLeast"/>
        <w:ind w:left="993"/>
        <w:contextualSpacing w:val="0"/>
        <w:jc w:val="both"/>
      </w:pPr>
      <w:r w:rsidRPr="008B4ED4">
        <w:lastRenderedPageBreak/>
        <w:t xml:space="preserve">finansowanie działalności w zakresie </w:t>
      </w:r>
      <w:r w:rsidR="00835117" w:rsidRPr="008B4ED4">
        <w:t xml:space="preserve">gier losowych, zakładów wzajemnych, gier </w:t>
      </w:r>
      <w:r w:rsidR="00017E0D" w:rsidRPr="008B4ED4">
        <w:t>na </w:t>
      </w:r>
      <w:r w:rsidR="00835117" w:rsidRPr="008B4ED4">
        <w:t>automatach i gier na automatach o niskich wygranych;</w:t>
      </w:r>
    </w:p>
    <w:p w:rsidR="00835117" w:rsidRPr="008B4ED4" w:rsidRDefault="00FB10B5" w:rsidP="00D17F7A">
      <w:pPr>
        <w:pStyle w:val="Akapitzlist"/>
        <w:numPr>
          <w:ilvl w:val="0"/>
          <w:numId w:val="2"/>
        </w:numPr>
        <w:spacing w:after="120" w:line="23" w:lineRule="atLeast"/>
        <w:ind w:left="993"/>
        <w:contextualSpacing w:val="0"/>
        <w:jc w:val="both"/>
      </w:pPr>
      <w:r w:rsidRPr="008B4ED4">
        <w:t xml:space="preserve">finansowanie działalności w zakresie </w:t>
      </w:r>
      <w:r w:rsidR="00835117" w:rsidRPr="008B4ED4">
        <w:t xml:space="preserve">produkcji lub wprowadzania do obrotu </w:t>
      </w:r>
      <w:r w:rsidR="00567D7A" w:rsidRPr="008B4ED4">
        <w:t xml:space="preserve">przez producenta lub importera </w:t>
      </w:r>
      <w:r w:rsidR="00835117" w:rsidRPr="008B4ED4">
        <w:t xml:space="preserve">środków odurzających, substancji </w:t>
      </w:r>
      <w:r w:rsidR="00730601" w:rsidRPr="008B4ED4">
        <w:t>psychotropowych lub prekursorów;</w:t>
      </w:r>
    </w:p>
    <w:p w:rsidR="00614CDD" w:rsidRPr="008B4ED4" w:rsidRDefault="00614CDD" w:rsidP="00D17F7A">
      <w:pPr>
        <w:pStyle w:val="Akapitzlist"/>
        <w:numPr>
          <w:ilvl w:val="0"/>
          <w:numId w:val="2"/>
        </w:numPr>
        <w:spacing w:after="120" w:line="23" w:lineRule="atLeast"/>
        <w:ind w:left="993"/>
        <w:contextualSpacing w:val="0"/>
        <w:jc w:val="both"/>
      </w:pPr>
      <w:r w:rsidRPr="008B4ED4">
        <w:t>finansowan</w:t>
      </w:r>
      <w:r w:rsidR="002341C7" w:rsidRPr="008B4ED4">
        <w:t>i</w:t>
      </w:r>
      <w:r w:rsidRPr="008B4ED4">
        <w:t xml:space="preserve">e likwidacji </w:t>
      </w:r>
      <w:r w:rsidR="007D39CF" w:rsidRPr="008B4ED4">
        <w:t xml:space="preserve">lub </w:t>
      </w:r>
      <w:r w:rsidRPr="008B4ED4">
        <w:t>budowy elektrowni jądrowych;</w:t>
      </w:r>
    </w:p>
    <w:p w:rsidR="00614CDD" w:rsidRPr="008B4ED4" w:rsidRDefault="00614CDD" w:rsidP="00D17F7A">
      <w:pPr>
        <w:pStyle w:val="Akapitzlist"/>
        <w:numPr>
          <w:ilvl w:val="0"/>
          <w:numId w:val="2"/>
        </w:numPr>
        <w:spacing w:after="120" w:line="23" w:lineRule="atLeast"/>
        <w:ind w:left="993"/>
        <w:contextualSpacing w:val="0"/>
        <w:jc w:val="both"/>
      </w:pPr>
      <w:r w:rsidRPr="008B4ED4">
        <w:t>finansowan</w:t>
      </w:r>
      <w:r w:rsidR="002341C7" w:rsidRPr="008B4ED4">
        <w:t>i</w:t>
      </w:r>
      <w:r w:rsidRPr="008B4ED4">
        <w:t>e inwestycji na rzecz redukcji emisji gazów cieplarnianych pochodzących z listy działań wymienionych w załączniku I do dyrektywy 2003/87/WE;</w:t>
      </w:r>
    </w:p>
    <w:p w:rsidR="00636B37" w:rsidRPr="008B4ED4" w:rsidRDefault="00614CDD" w:rsidP="00D17F7A">
      <w:pPr>
        <w:pStyle w:val="Akapitzlist"/>
        <w:numPr>
          <w:ilvl w:val="0"/>
          <w:numId w:val="2"/>
        </w:numPr>
        <w:spacing w:after="120" w:line="23" w:lineRule="atLeast"/>
        <w:ind w:left="993"/>
        <w:contextualSpacing w:val="0"/>
        <w:jc w:val="both"/>
      </w:pPr>
      <w:r w:rsidRPr="008B4ED4">
        <w:t>finansowan</w:t>
      </w:r>
      <w:r w:rsidR="002341C7" w:rsidRPr="008B4ED4">
        <w:t>i</w:t>
      </w:r>
      <w:r w:rsidRPr="008B4ED4">
        <w:t>e inwestycji w infrastrukturę portów lotniczy</w:t>
      </w:r>
      <w:r w:rsidR="00017E0D" w:rsidRPr="008B4ED4">
        <w:t>ch, chyba że są one związane z </w:t>
      </w:r>
      <w:r w:rsidRPr="008B4ED4">
        <w:t>ochroną środowiska lub towarzyszą im inwestycje niezbędne do łagodzenia lub ograniczenia</w:t>
      </w:r>
      <w:r w:rsidR="00560B36" w:rsidRPr="008B4ED4">
        <w:t xml:space="preserve"> ich negatywnego oddziaływania na środowisko</w:t>
      </w:r>
      <w:r w:rsidR="00E70D42" w:rsidRPr="008B4ED4">
        <w:t>;</w:t>
      </w:r>
    </w:p>
    <w:p w:rsidR="005F3EAE" w:rsidRPr="008B4ED4" w:rsidRDefault="00817619" w:rsidP="00D17F7A">
      <w:pPr>
        <w:pStyle w:val="Akapitzlist"/>
        <w:numPr>
          <w:ilvl w:val="0"/>
          <w:numId w:val="2"/>
        </w:numPr>
        <w:spacing w:after="120" w:line="23" w:lineRule="atLeast"/>
        <w:ind w:left="993"/>
        <w:contextualSpacing w:val="0"/>
        <w:jc w:val="both"/>
      </w:pPr>
      <w:r w:rsidRPr="008B4ED4">
        <w:t xml:space="preserve">inne cele, których finansowanie jest wykluczone na mocy </w:t>
      </w:r>
      <w:r w:rsidR="00C24145" w:rsidRPr="008B4ED4">
        <w:t xml:space="preserve">innych </w:t>
      </w:r>
      <w:r w:rsidR="00561109" w:rsidRPr="008B4ED4">
        <w:t>właściwych</w:t>
      </w:r>
      <w:r w:rsidRPr="008B4ED4">
        <w:t xml:space="preserve"> przepisów.</w:t>
      </w:r>
    </w:p>
    <w:p w:rsidR="005D1A43" w:rsidRPr="008B4ED4" w:rsidRDefault="005D1A43" w:rsidP="00D17F7A">
      <w:pPr>
        <w:pStyle w:val="Akapitzlist"/>
        <w:keepNext/>
        <w:numPr>
          <w:ilvl w:val="0"/>
          <w:numId w:val="5"/>
        </w:numPr>
        <w:spacing w:after="120" w:line="23" w:lineRule="atLeast"/>
        <w:ind w:left="425" w:hanging="425"/>
        <w:contextualSpacing w:val="0"/>
        <w:jc w:val="both"/>
        <w:rPr>
          <w:b/>
        </w:rPr>
      </w:pPr>
      <w:r w:rsidRPr="008B4ED4">
        <w:rPr>
          <w:b/>
        </w:rPr>
        <w:t xml:space="preserve"> Ograniczenia w finansowaniu</w:t>
      </w:r>
    </w:p>
    <w:p w:rsidR="005D1A43" w:rsidRPr="008B4ED4" w:rsidRDefault="005D1A43" w:rsidP="00D17F7A">
      <w:pPr>
        <w:pStyle w:val="Akapitzlist"/>
        <w:numPr>
          <w:ilvl w:val="0"/>
          <w:numId w:val="11"/>
        </w:numPr>
        <w:spacing w:after="120" w:line="23" w:lineRule="atLeast"/>
        <w:contextualSpacing w:val="0"/>
        <w:jc w:val="both"/>
      </w:pPr>
      <w:r w:rsidRPr="008B4ED4">
        <w:t xml:space="preserve">Kredyty, objęte Jednostkowym Poręczeniem mogą być przeznaczane na zakup gruntów niezabudowanych i zabudowanych w ramach finansowanej </w:t>
      </w:r>
      <w:r w:rsidR="00085596" w:rsidRPr="008B4ED4">
        <w:t>I</w:t>
      </w:r>
      <w:r w:rsidRPr="008B4ED4">
        <w:t>nwestycji do wysokości 10% wartości Kredytu wypłaconego na rzecz Ostatecznego Odbiorcy;</w:t>
      </w:r>
    </w:p>
    <w:p w:rsidR="005D1A43" w:rsidRPr="008B4ED4" w:rsidRDefault="005D1A43" w:rsidP="00D17F7A">
      <w:pPr>
        <w:pStyle w:val="Akapitzlist"/>
        <w:numPr>
          <w:ilvl w:val="0"/>
          <w:numId w:val="11"/>
        </w:numPr>
        <w:spacing w:after="120" w:line="23" w:lineRule="atLeast"/>
        <w:contextualSpacing w:val="0"/>
        <w:jc w:val="both"/>
        <w:rPr>
          <w:lang w:val="en-US"/>
        </w:rPr>
      </w:pPr>
      <w:r w:rsidRPr="008B4ED4">
        <w:t>Kredyty, objęte Jednostkowym Poręczeniem mogą być przeznaczane na finansowanie kapitału obrotowego Ostatecznego Odbiorcy, pod warunkiem</w:t>
      </w:r>
      <w:r w:rsidR="00085596" w:rsidRPr="008B4ED4">
        <w:t>,</w:t>
      </w:r>
      <w:r w:rsidRPr="008B4ED4">
        <w:t xml:space="preserve"> że takie fina</w:t>
      </w:r>
      <w:r w:rsidR="00E55C80" w:rsidRPr="008B4ED4">
        <w:t>n</w:t>
      </w:r>
      <w:r w:rsidRPr="008B4ED4">
        <w:t>sowanie jest niezbędne do osiągnięcia celów Inwestycji wskazanych w pkt I</w:t>
      </w:r>
      <w:r w:rsidR="00B937E3" w:rsidRPr="008B4ED4">
        <w:t>II</w:t>
      </w:r>
      <w:r w:rsidR="00015E89" w:rsidRPr="008B4ED4">
        <w:t>.</w:t>
      </w:r>
      <w:r w:rsidRPr="008B4ED4">
        <w:t xml:space="preserve"> oraz jest zgodne </w:t>
      </w:r>
      <w:r w:rsidR="006D5D57" w:rsidRPr="008B4ED4">
        <w:br/>
      </w:r>
      <w:r w:rsidRPr="008B4ED4">
        <w:t xml:space="preserve">z Wytycznymi EGESIF_14_0041-1 z dnia 27 marca 2015 r. pt. </w:t>
      </w:r>
      <w:r w:rsidRPr="008B4ED4">
        <w:rPr>
          <w:lang w:val="en-US"/>
        </w:rPr>
        <w:t xml:space="preserve">Guidance for Member States </w:t>
      </w:r>
      <w:r w:rsidR="00C07185" w:rsidRPr="008B4ED4">
        <w:rPr>
          <w:lang w:val="en-US"/>
        </w:rPr>
        <w:br/>
      </w:r>
      <w:r w:rsidRPr="008B4ED4">
        <w:rPr>
          <w:lang w:val="en-US"/>
        </w:rPr>
        <w:t>on Article 37(4) CPR – Support on enterprises/working capital;</w:t>
      </w:r>
    </w:p>
    <w:p w:rsidR="00C02D1A" w:rsidRPr="008B4ED4" w:rsidRDefault="00D06864" w:rsidP="00D17F7A">
      <w:pPr>
        <w:pStyle w:val="Akapitzlist"/>
        <w:keepNext/>
        <w:numPr>
          <w:ilvl w:val="0"/>
          <w:numId w:val="5"/>
        </w:numPr>
        <w:spacing w:before="240" w:after="240" w:line="23" w:lineRule="atLeast"/>
        <w:ind w:left="284" w:hanging="295"/>
        <w:contextualSpacing w:val="0"/>
        <w:jc w:val="both"/>
        <w:rPr>
          <w:b/>
        </w:rPr>
      </w:pPr>
      <w:r w:rsidRPr="008B4ED4">
        <w:rPr>
          <w:b/>
        </w:rPr>
        <w:t>Ostateczni Odbiorcy</w:t>
      </w:r>
    </w:p>
    <w:p w:rsidR="005E7890" w:rsidRPr="008B4ED4" w:rsidRDefault="005E7890" w:rsidP="00D17F7A">
      <w:pPr>
        <w:pStyle w:val="Akapitzlist"/>
        <w:numPr>
          <w:ilvl w:val="0"/>
          <w:numId w:val="6"/>
        </w:numPr>
        <w:spacing w:after="120" w:line="23" w:lineRule="atLeast"/>
        <w:contextualSpacing w:val="0"/>
        <w:jc w:val="both"/>
      </w:pPr>
      <w:r w:rsidRPr="008B4ED4">
        <w:t>Przedsiębior</w:t>
      </w:r>
      <w:r w:rsidR="006839E1" w:rsidRPr="008B4ED4">
        <w:t>stwa</w:t>
      </w:r>
      <w:r w:rsidRPr="008B4ED4">
        <w:t xml:space="preserve"> ubiegając</w:t>
      </w:r>
      <w:r w:rsidR="006839E1" w:rsidRPr="008B4ED4">
        <w:t>e</w:t>
      </w:r>
      <w:r w:rsidRPr="008B4ED4">
        <w:t xml:space="preserve"> się o </w:t>
      </w:r>
      <w:r w:rsidR="000710BD" w:rsidRPr="008B4ED4">
        <w:t>Jednostkow</w:t>
      </w:r>
      <w:r w:rsidR="00873DD2" w:rsidRPr="008B4ED4">
        <w:t>e</w:t>
      </w:r>
      <w:r w:rsidR="000710BD" w:rsidRPr="008B4ED4">
        <w:t xml:space="preserve"> </w:t>
      </w:r>
      <w:r w:rsidR="00A74730" w:rsidRPr="008B4ED4">
        <w:t xml:space="preserve">Poręczenie </w:t>
      </w:r>
      <w:r w:rsidRPr="008B4ED4">
        <w:t>muszą spełniać łącznie</w:t>
      </w:r>
      <w:r w:rsidR="00B31C30" w:rsidRPr="008B4ED4">
        <w:t xml:space="preserve"> </w:t>
      </w:r>
      <w:r w:rsidRPr="008B4ED4">
        <w:t>następujące kryteria:</w:t>
      </w:r>
    </w:p>
    <w:p w:rsidR="005E7890" w:rsidRPr="008B4ED4" w:rsidRDefault="005E7890" w:rsidP="00D17F7A">
      <w:pPr>
        <w:pStyle w:val="Akapitzlist"/>
        <w:numPr>
          <w:ilvl w:val="0"/>
          <w:numId w:val="7"/>
        </w:numPr>
        <w:spacing w:after="120" w:line="23" w:lineRule="atLeast"/>
        <w:ind w:left="993"/>
        <w:contextualSpacing w:val="0"/>
        <w:jc w:val="both"/>
      </w:pPr>
      <w:r w:rsidRPr="008B4ED4">
        <w:t>nie znajdują się w trudnej sytuacji w rozumieniu pkt 20 Wytycznych dotyczących pomocy państwa na ratowanie i restrukturyzację przedsiębiorstw niefinansowych znajdujących się w t</w:t>
      </w:r>
      <w:r w:rsidR="00017E0D" w:rsidRPr="008B4ED4">
        <w:t xml:space="preserve">rudnej sytuacji (Dz. Urz. UE C </w:t>
      </w:r>
      <w:r w:rsidRPr="008B4ED4">
        <w:t>249/1 z 31.07.2014 r.),</w:t>
      </w:r>
    </w:p>
    <w:p w:rsidR="00614CDD" w:rsidRPr="008B4ED4" w:rsidRDefault="005E7890" w:rsidP="00D17F7A">
      <w:pPr>
        <w:pStyle w:val="Akapitzlist"/>
        <w:numPr>
          <w:ilvl w:val="0"/>
          <w:numId w:val="7"/>
        </w:numPr>
        <w:spacing w:after="120" w:line="23" w:lineRule="atLeast"/>
        <w:ind w:left="993"/>
        <w:contextualSpacing w:val="0"/>
        <w:jc w:val="both"/>
      </w:pPr>
      <w:r w:rsidRPr="008B4ED4">
        <w:t>nie ciąży na nich obowiązek zwrotu pomocy, wynikający z decyzji Komisji Europejskiej uznającej pomoc za niezgodną z prawem oraz ze wspólnym rynkiem lub orzeczenia sądu krajowego lub unijnego,</w:t>
      </w:r>
    </w:p>
    <w:p w:rsidR="00614CDD" w:rsidRPr="008B4ED4" w:rsidRDefault="005E7890" w:rsidP="00D17F7A">
      <w:pPr>
        <w:pStyle w:val="Akapitzlist"/>
        <w:numPr>
          <w:ilvl w:val="0"/>
          <w:numId w:val="7"/>
        </w:numPr>
        <w:spacing w:after="120" w:line="23" w:lineRule="atLeast"/>
        <w:ind w:left="993"/>
        <w:contextualSpacing w:val="0"/>
        <w:jc w:val="both"/>
      </w:pPr>
      <w:r w:rsidRPr="008B4ED4">
        <w:t>są mikro</w:t>
      </w:r>
      <w:r w:rsidR="00EA03E6" w:rsidRPr="008B4ED4">
        <w:t>,</w:t>
      </w:r>
      <w:r w:rsidR="00873DD2" w:rsidRPr="008B4ED4">
        <w:t xml:space="preserve"> </w:t>
      </w:r>
      <w:r w:rsidRPr="008B4ED4">
        <w:t>małym</w:t>
      </w:r>
      <w:r w:rsidR="00EA03E6" w:rsidRPr="008B4ED4">
        <w:t xml:space="preserve"> albo średnim</w:t>
      </w:r>
      <w:r w:rsidR="00873DD2" w:rsidRPr="008B4ED4">
        <w:t xml:space="preserve"> </w:t>
      </w:r>
      <w:r w:rsidRPr="008B4ED4">
        <w:t xml:space="preserve">przedsiębiorstwem w rozumieniu przepisów załącznika </w:t>
      </w:r>
      <w:r w:rsidR="00C07185" w:rsidRPr="008B4ED4">
        <w:br/>
      </w:r>
      <w:r w:rsidRPr="008B4ED4">
        <w:t>nr I Rozporządzenia 651/2014,</w:t>
      </w:r>
    </w:p>
    <w:p w:rsidR="00614CDD" w:rsidRPr="008B4ED4" w:rsidRDefault="005E7890" w:rsidP="00D17F7A">
      <w:pPr>
        <w:pStyle w:val="Akapitzlist"/>
        <w:numPr>
          <w:ilvl w:val="0"/>
          <w:numId w:val="7"/>
        </w:numPr>
        <w:spacing w:after="120" w:line="23" w:lineRule="atLeast"/>
        <w:ind w:left="993"/>
        <w:contextualSpacing w:val="0"/>
        <w:jc w:val="both"/>
      </w:pPr>
      <w:r w:rsidRPr="008B4ED4">
        <w:t>są osobami fizycznymi</w:t>
      </w:r>
      <w:r w:rsidR="00115A26" w:rsidRPr="008B4ED4">
        <w:t>, albo</w:t>
      </w:r>
      <w:r w:rsidRPr="008B4ED4">
        <w:t xml:space="preserve"> osobami prawnymi, albo jednostkami organizacyjnymi </w:t>
      </w:r>
      <w:r w:rsidR="00C02FB1" w:rsidRPr="008B4ED4">
        <w:t>nieposiadającymi osobowości prawnej</w:t>
      </w:r>
      <w:r w:rsidRPr="008B4ED4">
        <w:t xml:space="preserve">, którym właściwa ustawa przyznaje zdolność prawną, prowadzącymi działalność gospodarczą na terenie województwa </w:t>
      </w:r>
      <w:r w:rsidR="00AE004A" w:rsidRPr="008B4ED4">
        <w:t>warmińsko - mazurskiego</w:t>
      </w:r>
      <w:r w:rsidRPr="008B4ED4">
        <w:t>,</w:t>
      </w:r>
    </w:p>
    <w:p w:rsidR="00614CDD" w:rsidRPr="008B4ED4" w:rsidRDefault="005E7890" w:rsidP="00D17F7A">
      <w:pPr>
        <w:pStyle w:val="Akapitzlist"/>
        <w:numPr>
          <w:ilvl w:val="0"/>
          <w:numId w:val="7"/>
        </w:numPr>
        <w:spacing w:after="120" w:line="23" w:lineRule="atLeast"/>
        <w:ind w:left="993"/>
        <w:contextualSpacing w:val="0"/>
        <w:jc w:val="both"/>
      </w:pPr>
      <w:r w:rsidRPr="008B4ED4">
        <w:t>nie są wykluczeni, stosownie do Rozporządzenia Komi</w:t>
      </w:r>
      <w:r w:rsidR="00005390" w:rsidRPr="008B4ED4">
        <w:t xml:space="preserve">sji (UE) nr 1407/2013 z dnia </w:t>
      </w:r>
      <w:r w:rsidR="00B31C30" w:rsidRPr="008B4ED4">
        <w:br/>
      </w:r>
      <w:r w:rsidR="00005390" w:rsidRPr="008B4ED4">
        <w:t>18</w:t>
      </w:r>
      <w:r w:rsidR="00B31C30" w:rsidRPr="008B4ED4">
        <w:t xml:space="preserve"> </w:t>
      </w:r>
      <w:r w:rsidRPr="008B4ED4">
        <w:t>grudnia 2013 r. w sprawie stosowania art. 107 i 108 Traktatu o funkcjonowaniu Unii Europejskie</w:t>
      </w:r>
      <w:r w:rsidR="002D1C48" w:rsidRPr="008B4ED4">
        <w:t xml:space="preserve">j do pomocy de </w:t>
      </w:r>
      <w:proofErr w:type="spellStart"/>
      <w:r w:rsidR="002D1C48" w:rsidRPr="008B4ED4">
        <w:t>minimis</w:t>
      </w:r>
      <w:proofErr w:type="spellEnd"/>
      <w:r w:rsidR="002D1C48" w:rsidRPr="008B4ED4">
        <w:t xml:space="preserve"> (jeżeli </w:t>
      </w:r>
      <w:r w:rsidR="002341C7" w:rsidRPr="008B4ED4">
        <w:t>p</w:t>
      </w:r>
      <w:r w:rsidRPr="008B4ED4">
        <w:t>rzedsiębior</w:t>
      </w:r>
      <w:r w:rsidR="002D1C48" w:rsidRPr="008B4ED4">
        <w:t>stwo</w:t>
      </w:r>
      <w:r w:rsidRPr="008B4ED4">
        <w:t xml:space="preserve"> ubiega się o pomoc </w:t>
      </w:r>
      <w:r w:rsidR="00C07185" w:rsidRPr="008B4ED4">
        <w:br/>
      </w:r>
      <w:r w:rsidRPr="008B4ED4">
        <w:t xml:space="preserve">de </w:t>
      </w:r>
      <w:proofErr w:type="spellStart"/>
      <w:r w:rsidRPr="008B4ED4">
        <w:t>minimis</w:t>
      </w:r>
      <w:proofErr w:type="spellEnd"/>
      <w:r w:rsidRPr="008B4ED4">
        <w:t>),</w:t>
      </w:r>
    </w:p>
    <w:p w:rsidR="005F3EAE" w:rsidRPr="008B4ED4" w:rsidRDefault="005E7890" w:rsidP="00D17F7A">
      <w:pPr>
        <w:pStyle w:val="Akapitzlist"/>
        <w:numPr>
          <w:ilvl w:val="0"/>
          <w:numId w:val="7"/>
        </w:numPr>
        <w:spacing w:after="120" w:line="23" w:lineRule="atLeast"/>
        <w:ind w:left="993"/>
        <w:contextualSpacing w:val="0"/>
        <w:jc w:val="both"/>
      </w:pPr>
      <w:r w:rsidRPr="008B4ED4">
        <w:t>nie podlegają wykluczeniu z możliwości dostępu do środków publicznych na podstawie przepisów prawa lub wykluczeniu takiemu nie podlegają osoby uprawnione do ich reprezentacji</w:t>
      </w:r>
      <w:r w:rsidR="0033262A" w:rsidRPr="008B4ED4">
        <w:t>.</w:t>
      </w:r>
    </w:p>
    <w:p w:rsidR="005C057F" w:rsidRPr="008B4ED4" w:rsidRDefault="005C057F" w:rsidP="00D17F7A">
      <w:pPr>
        <w:pStyle w:val="Akapitzlist"/>
        <w:keepNext/>
        <w:numPr>
          <w:ilvl w:val="0"/>
          <w:numId w:val="5"/>
        </w:numPr>
        <w:spacing w:before="240" w:after="240" w:line="23" w:lineRule="atLeast"/>
        <w:ind w:left="284" w:hanging="295"/>
        <w:contextualSpacing w:val="0"/>
        <w:jc w:val="both"/>
        <w:rPr>
          <w:b/>
        </w:rPr>
      </w:pPr>
      <w:r w:rsidRPr="008B4ED4">
        <w:rPr>
          <w:b/>
        </w:rPr>
        <w:lastRenderedPageBreak/>
        <w:t xml:space="preserve">Zasady </w:t>
      </w:r>
      <w:r w:rsidR="00EE07F6" w:rsidRPr="008B4ED4">
        <w:rPr>
          <w:b/>
        </w:rPr>
        <w:t xml:space="preserve">odpłatności za udzielenie </w:t>
      </w:r>
      <w:r w:rsidR="000710BD" w:rsidRPr="008B4ED4">
        <w:rPr>
          <w:b/>
        </w:rPr>
        <w:t xml:space="preserve">Jednostkowych </w:t>
      </w:r>
      <w:r w:rsidR="00F12690" w:rsidRPr="008B4ED4">
        <w:rPr>
          <w:b/>
        </w:rPr>
        <w:t>Poręczeń</w:t>
      </w:r>
    </w:p>
    <w:p w:rsidR="001D157B" w:rsidRPr="008B4ED4" w:rsidRDefault="001D157B" w:rsidP="00D17F7A">
      <w:pPr>
        <w:pStyle w:val="Akapitzlist"/>
        <w:numPr>
          <w:ilvl w:val="0"/>
          <w:numId w:val="12"/>
        </w:numPr>
        <w:spacing w:after="120" w:line="23" w:lineRule="atLeast"/>
        <w:contextualSpacing w:val="0"/>
        <w:jc w:val="both"/>
      </w:pPr>
      <w:r w:rsidRPr="008B4ED4">
        <w:t xml:space="preserve">Jednostkowe Poręczenia udzielane są przez Pośrednika Finansowego na warunkach korzystniejszych niż rynkowe, na zasadach pomocy de </w:t>
      </w:r>
      <w:proofErr w:type="spellStart"/>
      <w:r w:rsidRPr="008B4ED4">
        <w:t>minimis</w:t>
      </w:r>
      <w:proofErr w:type="spellEnd"/>
      <w:r w:rsidR="00445810" w:rsidRPr="008B4ED4">
        <w:t>,</w:t>
      </w:r>
      <w:r w:rsidRPr="008B4ED4">
        <w:t xml:space="preserve"> o których mowa </w:t>
      </w:r>
      <w:r w:rsidR="00B14D18" w:rsidRPr="008B4ED4">
        <w:br/>
      </w:r>
      <w:r w:rsidRPr="008B4ED4">
        <w:t xml:space="preserve">w Rozporządzeniu Komisji (UE) nr 1407/2013 z dnia 18 grudnia 2013 r. w sprawie stosowania art. 107 i 108 Traktatu o funkcjonowaniu Unii Europejskiej do pomocy de </w:t>
      </w:r>
      <w:proofErr w:type="spellStart"/>
      <w:r w:rsidRPr="008B4ED4">
        <w:t>minimis</w:t>
      </w:r>
      <w:proofErr w:type="spellEnd"/>
      <w:r w:rsidRPr="008B4ED4">
        <w:t xml:space="preserve"> oraz Rozporządzeniu Ministra Infrastruktury i Rozwoju z dnia 19 marca 2015 r. w sprawie udzielania pomocy de </w:t>
      </w:r>
      <w:proofErr w:type="spellStart"/>
      <w:r w:rsidRPr="008B4ED4">
        <w:t>minimis</w:t>
      </w:r>
      <w:proofErr w:type="spellEnd"/>
      <w:r w:rsidRPr="008B4ED4">
        <w:t xml:space="preserve"> w ramach regionalnych programów operacyjnych na lata 2014–2020 (Dz.U. 2015 poz. 488 z późniejszymi zmianami)</w:t>
      </w:r>
      <w:r w:rsidR="00E55C80" w:rsidRPr="008B4ED4">
        <w:t>.</w:t>
      </w:r>
    </w:p>
    <w:p w:rsidR="002D1723" w:rsidRPr="008B4ED4" w:rsidRDefault="001D157B" w:rsidP="00D17F7A">
      <w:pPr>
        <w:pStyle w:val="Akapitzlist"/>
        <w:numPr>
          <w:ilvl w:val="0"/>
          <w:numId w:val="12"/>
        </w:numPr>
        <w:spacing w:after="120" w:line="23" w:lineRule="atLeast"/>
        <w:contextualSpacing w:val="0"/>
        <w:jc w:val="both"/>
      </w:pPr>
      <w:r w:rsidRPr="008B4ED4">
        <w:t xml:space="preserve">W przypadku braku możliwości udzielenia </w:t>
      </w:r>
      <w:r w:rsidR="00D758FE" w:rsidRPr="008B4ED4">
        <w:t xml:space="preserve">danemu Ostatecznemu Odbiorcy pomocy </w:t>
      </w:r>
      <w:r w:rsidR="00C07185" w:rsidRPr="008B4ED4">
        <w:br/>
      </w:r>
      <w:r w:rsidR="00D758FE" w:rsidRPr="008B4ED4">
        <w:t xml:space="preserve">de </w:t>
      </w:r>
      <w:proofErr w:type="spellStart"/>
      <w:r w:rsidR="00D758FE" w:rsidRPr="008B4ED4">
        <w:t>minimis</w:t>
      </w:r>
      <w:proofErr w:type="spellEnd"/>
      <w:r w:rsidR="00445810" w:rsidRPr="008B4ED4">
        <w:t>,</w:t>
      </w:r>
      <w:r w:rsidR="00D758FE" w:rsidRPr="008B4ED4">
        <w:t xml:space="preserve"> o której mowa w </w:t>
      </w:r>
      <w:r w:rsidR="00783460" w:rsidRPr="008B4ED4">
        <w:t>ust</w:t>
      </w:r>
      <w:r w:rsidR="00015E89" w:rsidRPr="008B4ED4">
        <w:t>.</w:t>
      </w:r>
      <w:r w:rsidR="00783460" w:rsidRPr="008B4ED4">
        <w:t xml:space="preserve"> </w:t>
      </w:r>
      <w:r w:rsidR="00D758FE" w:rsidRPr="008B4ED4">
        <w:t>1</w:t>
      </w:r>
      <w:r w:rsidR="00015E89" w:rsidRPr="008B4ED4">
        <w:t>.</w:t>
      </w:r>
      <w:r w:rsidR="00D758FE" w:rsidRPr="008B4ED4">
        <w:t xml:space="preserve"> powyżej, Jednostkowe Poręczenie udzielane jest </w:t>
      </w:r>
      <w:r w:rsidR="00C07185" w:rsidRPr="008B4ED4">
        <w:br/>
      </w:r>
      <w:r w:rsidR="00D758FE" w:rsidRPr="008B4ED4">
        <w:t xml:space="preserve">na warunkach rynkowych, przy zastosowaniu tzw. bezpiecznych stawek określonych </w:t>
      </w:r>
      <w:r w:rsidR="00B14D18" w:rsidRPr="008B4ED4">
        <w:br/>
      </w:r>
      <w:r w:rsidR="00D758FE" w:rsidRPr="008B4ED4">
        <w:t xml:space="preserve">w Obwieszczeniu Komisji w sprawie zastosowania art. 87 i 88 Traktatu WE do pomocy państwa w formie gwarancji (Dz. Urz. UE C 155 z 20.6.2008 r., str. 10) oraz </w:t>
      </w:r>
      <w:r w:rsidR="00C07185" w:rsidRPr="008B4ED4">
        <w:br/>
      </w:r>
      <w:r w:rsidR="00D758FE" w:rsidRPr="008B4ED4">
        <w:t xml:space="preserve">po przeprowadzeniu analizy ryzyka wypłaty Jednostkowego Poręczenia zgodnie </w:t>
      </w:r>
      <w:r w:rsidR="00C07185" w:rsidRPr="008B4ED4">
        <w:br/>
      </w:r>
      <w:r w:rsidR="00D758FE" w:rsidRPr="008B4ED4">
        <w:t>ze stosowanymi</w:t>
      </w:r>
      <w:r w:rsidR="00173226" w:rsidRPr="008B4ED4">
        <w:t xml:space="preserve"> przez Pośrednika Finansowego i</w:t>
      </w:r>
      <w:r w:rsidR="00B31C30" w:rsidRPr="008B4ED4">
        <w:t xml:space="preserve"> </w:t>
      </w:r>
      <w:r w:rsidR="00D758FE" w:rsidRPr="008B4ED4">
        <w:t>powszechnie akceptowanymi w sektorze finansowym metodami oceny ryzyka</w:t>
      </w:r>
      <w:r w:rsidR="00503F45" w:rsidRPr="008B4ED4">
        <w:t>.</w:t>
      </w:r>
    </w:p>
    <w:p w:rsidR="00ED6923" w:rsidRPr="008B4ED4" w:rsidRDefault="00ED6923" w:rsidP="00D17F7A">
      <w:pPr>
        <w:pStyle w:val="Akapitzlist"/>
        <w:numPr>
          <w:ilvl w:val="0"/>
          <w:numId w:val="12"/>
        </w:numPr>
        <w:spacing w:after="120" w:line="23" w:lineRule="atLeast"/>
        <w:contextualSpacing w:val="0"/>
        <w:jc w:val="both"/>
      </w:pPr>
      <w:r w:rsidRPr="008B4ED4">
        <w:t>Pośrednik Finansowy nie może pobierać od Ostatecznego Odbiorcy żadnych opłat związanych z udzieleniem i obsługą Jednostkowego Poręczenia, innych niż Prowizja za udzielenie Jednostkowego Poręczenia. Powyższe nie dotyczy opłat związanych z czynnościami windykacyjnymi podejmowanymi przez Pośrednika Finansowego</w:t>
      </w:r>
      <w:r w:rsidR="002F733D" w:rsidRPr="008B4ED4">
        <w:t>.</w:t>
      </w:r>
    </w:p>
    <w:p w:rsidR="00B35B26" w:rsidRPr="008B4ED4" w:rsidRDefault="00C02FB1" w:rsidP="00D17F7A">
      <w:pPr>
        <w:pStyle w:val="Akapitzlist"/>
        <w:numPr>
          <w:ilvl w:val="0"/>
          <w:numId w:val="12"/>
        </w:numPr>
        <w:spacing w:after="120" w:line="23" w:lineRule="atLeast"/>
        <w:contextualSpacing w:val="0"/>
        <w:jc w:val="both"/>
      </w:pPr>
      <w:r w:rsidRPr="008B4ED4">
        <w:rPr>
          <w:bCs/>
        </w:rPr>
        <w:t>W przypadku udzielenia</w:t>
      </w:r>
      <w:r w:rsidR="002D1723" w:rsidRPr="008B4ED4">
        <w:rPr>
          <w:bCs/>
        </w:rPr>
        <w:t xml:space="preserve"> Jednostkowego</w:t>
      </w:r>
      <w:r w:rsidRPr="008B4ED4">
        <w:rPr>
          <w:bCs/>
        </w:rPr>
        <w:t xml:space="preserve"> </w:t>
      </w:r>
      <w:r w:rsidR="002D1723" w:rsidRPr="008B4ED4">
        <w:rPr>
          <w:bCs/>
        </w:rPr>
        <w:t>P</w:t>
      </w:r>
      <w:r w:rsidRPr="008B4ED4">
        <w:rPr>
          <w:bCs/>
        </w:rPr>
        <w:t>oręczenia na warunkach korzystniejszych niż rynkowe</w:t>
      </w:r>
      <w:r w:rsidR="002D1723" w:rsidRPr="008B4ED4">
        <w:rPr>
          <w:bCs/>
        </w:rPr>
        <w:t xml:space="preserve">, o których mowa w </w:t>
      </w:r>
      <w:r w:rsidR="00783460" w:rsidRPr="008B4ED4">
        <w:rPr>
          <w:bCs/>
        </w:rPr>
        <w:t>ust</w:t>
      </w:r>
      <w:r w:rsidR="00ED6923" w:rsidRPr="008B4ED4">
        <w:rPr>
          <w:bCs/>
        </w:rPr>
        <w:t>.</w:t>
      </w:r>
      <w:r w:rsidR="00783460" w:rsidRPr="008B4ED4">
        <w:rPr>
          <w:bCs/>
        </w:rPr>
        <w:t xml:space="preserve"> </w:t>
      </w:r>
      <w:r w:rsidR="002D1723" w:rsidRPr="008B4ED4">
        <w:rPr>
          <w:bCs/>
        </w:rPr>
        <w:t>1</w:t>
      </w:r>
      <w:r w:rsidR="00ED6923" w:rsidRPr="008B4ED4">
        <w:rPr>
          <w:bCs/>
        </w:rPr>
        <w:t>.</w:t>
      </w:r>
      <w:r w:rsidR="002D1723" w:rsidRPr="008B4ED4">
        <w:rPr>
          <w:bCs/>
        </w:rPr>
        <w:t xml:space="preserve"> powyżej,</w:t>
      </w:r>
      <w:r w:rsidRPr="008B4ED4">
        <w:rPr>
          <w:bCs/>
        </w:rPr>
        <w:t xml:space="preserve"> Pośrednik Finansowy</w:t>
      </w:r>
      <w:r w:rsidR="00B35B26" w:rsidRPr="008B4ED4">
        <w:rPr>
          <w:bCs/>
        </w:rPr>
        <w:t>:</w:t>
      </w:r>
    </w:p>
    <w:p w:rsidR="00ED6923" w:rsidRPr="008B4ED4" w:rsidRDefault="00ED6923" w:rsidP="00D17F7A">
      <w:pPr>
        <w:pStyle w:val="Akapitzlist"/>
        <w:numPr>
          <w:ilvl w:val="0"/>
          <w:numId w:val="13"/>
        </w:numPr>
        <w:spacing w:after="120" w:line="23" w:lineRule="atLeast"/>
        <w:contextualSpacing w:val="0"/>
        <w:jc w:val="both"/>
      </w:pPr>
      <w:r w:rsidRPr="008B4ED4">
        <w:rPr>
          <w:bCs/>
        </w:rPr>
        <w:t xml:space="preserve">nie pobiera Prowizji za udzielenie Jednostkowego Poręczenia, </w:t>
      </w:r>
      <w:r w:rsidRPr="008B4ED4">
        <w:t xml:space="preserve">obliczanie wartości udzielonej pomocy de </w:t>
      </w:r>
      <w:proofErr w:type="spellStart"/>
      <w:r w:rsidRPr="008B4ED4">
        <w:t>minimis</w:t>
      </w:r>
      <w:proofErr w:type="spellEnd"/>
      <w:r w:rsidRPr="008B4ED4">
        <w:t xml:space="preserve"> realizowane jest zgodnie z art. 4 ust. 6 lit. b) albo c) Rozporządzenia Komisji (UE) nr 1407/2013, o którym mowa w </w:t>
      </w:r>
      <w:r w:rsidR="00783460" w:rsidRPr="008B4ED4">
        <w:t>ust</w:t>
      </w:r>
      <w:r w:rsidRPr="008B4ED4">
        <w:t>.</w:t>
      </w:r>
      <w:r w:rsidR="00783460" w:rsidRPr="008B4ED4">
        <w:t xml:space="preserve"> </w:t>
      </w:r>
      <w:r w:rsidRPr="008B4ED4">
        <w:t>1. powyżej;</w:t>
      </w:r>
    </w:p>
    <w:p w:rsidR="00ED6923" w:rsidRPr="008B4ED4" w:rsidRDefault="00ED6923" w:rsidP="00D17F7A">
      <w:pPr>
        <w:pStyle w:val="Akapitzlist"/>
        <w:numPr>
          <w:ilvl w:val="0"/>
          <w:numId w:val="13"/>
        </w:numPr>
        <w:spacing w:after="120" w:line="23" w:lineRule="atLeast"/>
        <w:contextualSpacing w:val="0"/>
        <w:jc w:val="both"/>
        <w:rPr>
          <w:bCs/>
        </w:rPr>
      </w:pPr>
      <w:r w:rsidRPr="008B4ED4">
        <w:t xml:space="preserve">pobiera Prowizję za udzielenie Jednostkowego Poręczenia w wysokości niższej niż cena rynkowa, o której mowa w </w:t>
      </w:r>
      <w:r w:rsidRPr="008B4ED4">
        <w:rPr>
          <w:bCs/>
        </w:rPr>
        <w:t xml:space="preserve">Obwieszczeniu Komisji w sprawie zastosowania art. 87 i 88 Traktatu WE do pomocy państwa w formie gwarancji, obliczanie wartości udzielonej pomocy de </w:t>
      </w:r>
      <w:proofErr w:type="spellStart"/>
      <w:r w:rsidRPr="008B4ED4">
        <w:rPr>
          <w:bCs/>
        </w:rPr>
        <w:t>minimis</w:t>
      </w:r>
      <w:proofErr w:type="spellEnd"/>
      <w:r w:rsidRPr="008B4ED4">
        <w:rPr>
          <w:bCs/>
        </w:rPr>
        <w:t xml:space="preserve"> realizowane jest zgodnie z art. 4 ust. 6 lit. c) Rozporządzenia Komisji (UE) nr 1407/2013, o którym mowa </w:t>
      </w:r>
      <w:r w:rsidR="00015E89" w:rsidRPr="008B4ED4">
        <w:rPr>
          <w:bCs/>
        </w:rPr>
        <w:t xml:space="preserve">w </w:t>
      </w:r>
      <w:r w:rsidR="00015E89" w:rsidRPr="008B4ED4">
        <w:t xml:space="preserve">pkt </w:t>
      </w:r>
      <w:r w:rsidR="00783460" w:rsidRPr="008B4ED4">
        <w:t>ust</w:t>
      </w:r>
      <w:r w:rsidR="00015E89" w:rsidRPr="008B4ED4">
        <w:t>.</w:t>
      </w:r>
      <w:r w:rsidR="00783460" w:rsidRPr="008B4ED4">
        <w:t xml:space="preserve"> </w:t>
      </w:r>
      <w:r w:rsidR="00015E89" w:rsidRPr="008B4ED4">
        <w:t xml:space="preserve">1. </w:t>
      </w:r>
      <w:r w:rsidRPr="008B4ED4">
        <w:rPr>
          <w:bCs/>
        </w:rPr>
        <w:t>powyżej.</w:t>
      </w:r>
    </w:p>
    <w:p w:rsidR="002D1723" w:rsidRPr="008B4ED4" w:rsidRDefault="00C02FB1" w:rsidP="00D17F7A">
      <w:pPr>
        <w:pStyle w:val="Akapitzlist"/>
        <w:numPr>
          <w:ilvl w:val="0"/>
          <w:numId w:val="12"/>
        </w:numPr>
        <w:spacing w:after="120" w:line="23" w:lineRule="atLeast"/>
        <w:contextualSpacing w:val="0"/>
        <w:jc w:val="both"/>
      </w:pPr>
      <w:r w:rsidRPr="008B4ED4">
        <w:rPr>
          <w:bCs/>
        </w:rPr>
        <w:t xml:space="preserve">W przypadku udzielenia </w:t>
      </w:r>
      <w:r w:rsidR="002D1723" w:rsidRPr="008B4ED4">
        <w:rPr>
          <w:bCs/>
        </w:rPr>
        <w:t>Jednostkowego Poręczenia</w:t>
      </w:r>
      <w:r w:rsidRPr="008B4ED4">
        <w:rPr>
          <w:bCs/>
        </w:rPr>
        <w:t xml:space="preserve"> na warunkach rynkowych</w:t>
      </w:r>
      <w:r w:rsidR="002D1723" w:rsidRPr="008B4ED4">
        <w:rPr>
          <w:bCs/>
        </w:rPr>
        <w:t xml:space="preserve">, o których mowa w </w:t>
      </w:r>
      <w:r w:rsidR="00783460" w:rsidRPr="008B4ED4">
        <w:rPr>
          <w:bCs/>
        </w:rPr>
        <w:t>ust</w:t>
      </w:r>
      <w:r w:rsidR="00ED6923" w:rsidRPr="008B4ED4">
        <w:rPr>
          <w:bCs/>
        </w:rPr>
        <w:t>.</w:t>
      </w:r>
      <w:r w:rsidR="00783460" w:rsidRPr="008B4ED4">
        <w:rPr>
          <w:bCs/>
        </w:rPr>
        <w:t xml:space="preserve"> </w:t>
      </w:r>
      <w:r w:rsidR="002D1723" w:rsidRPr="008B4ED4">
        <w:rPr>
          <w:bCs/>
        </w:rPr>
        <w:t>2</w:t>
      </w:r>
      <w:r w:rsidR="00ED6923" w:rsidRPr="008B4ED4">
        <w:rPr>
          <w:bCs/>
        </w:rPr>
        <w:t>.</w:t>
      </w:r>
      <w:r w:rsidR="002D1723" w:rsidRPr="008B4ED4">
        <w:rPr>
          <w:bCs/>
        </w:rPr>
        <w:t xml:space="preserve"> powyżej</w:t>
      </w:r>
      <w:r w:rsidRPr="008B4ED4">
        <w:rPr>
          <w:bCs/>
        </w:rPr>
        <w:t xml:space="preserve"> Pośrednik Finansowy pobiera za </w:t>
      </w:r>
      <w:r w:rsidR="00B35B26" w:rsidRPr="008B4ED4">
        <w:rPr>
          <w:bCs/>
        </w:rPr>
        <w:t>jego udzielenie</w:t>
      </w:r>
      <w:r w:rsidRPr="008B4ED4">
        <w:rPr>
          <w:bCs/>
        </w:rPr>
        <w:t xml:space="preserve"> wyłącznie cenę rynkową, o której mowa w Obwieszczeniu Komisji w sprawie zastosowania art. 87 i 88 Traktatu WE do pomocy państwa w formie gwarancji.</w:t>
      </w:r>
    </w:p>
    <w:p w:rsidR="00A109EB" w:rsidRPr="008B4ED4" w:rsidRDefault="00A109EB" w:rsidP="008D0EDC">
      <w:pPr>
        <w:pStyle w:val="Akapitzlist"/>
        <w:jc w:val="both"/>
      </w:pPr>
    </w:p>
    <w:sectPr w:rsidR="00A109EB" w:rsidRPr="008B4ED4" w:rsidSect="00EA03E6">
      <w:headerReference w:type="default" r:id="rId9"/>
      <w:footerReference w:type="default" r:id="rId10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F39" w:rsidRDefault="00715F39" w:rsidP="00BA3860">
      <w:pPr>
        <w:spacing w:after="0" w:line="240" w:lineRule="auto"/>
      </w:pPr>
      <w:r>
        <w:separator/>
      </w:r>
    </w:p>
  </w:endnote>
  <w:endnote w:type="continuationSeparator" w:id="0">
    <w:p w:rsidR="00715F39" w:rsidRDefault="00715F39" w:rsidP="00BA3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9238322"/>
      <w:docPartObj>
        <w:docPartGallery w:val="Page Numbers (Top of Page)"/>
        <w:docPartUnique/>
      </w:docPartObj>
    </w:sdtPr>
    <w:sdtEndPr/>
    <w:sdtContent>
      <w:p w:rsidR="00981F02" w:rsidRDefault="00981F02" w:rsidP="00D95B36">
        <w:pPr>
          <w:pStyle w:val="Stopka"/>
          <w:jc w:val="center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8E3210"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8E3210"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981F02" w:rsidRPr="00D95B36" w:rsidRDefault="000628D8" w:rsidP="000628D8">
    <w:pPr>
      <w:pStyle w:val="Stopka"/>
      <w:jc w:val="both"/>
    </w:pPr>
    <w:r>
      <w:rPr>
        <w:noProof/>
        <w:lang w:eastAsia="pl-PL"/>
      </w:rPr>
      <w:drawing>
        <wp:inline distT="0" distB="0" distL="0" distR="0" wp14:anchorId="592031B7" wp14:editId="43202228">
          <wp:extent cx="5753100" cy="30480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F39" w:rsidRDefault="00715F39" w:rsidP="00BA3860">
      <w:pPr>
        <w:spacing w:after="0" w:line="240" w:lineRule="auto"/>
      </w:pPr>
      <w:r>
        <w:separator/>
      </w:r>
    </w:p>
  </w:footnote>
  <w:footnote w:type="continuationSeparator" w:id="0">
    <w:p w:rsidR="00715F39" w:rsidRDefault="00715F39" w:rsidP="00BA3860">
      <w:pPr>
        <w:spacing w:after="0" w:line="240" w:lineRule="auto"/>
      </w:pPr>
      <w:r>
        <w:continuationSeparator/>
      </w:r>
    </w:p>
  </w:footnote>
  <w:footnote w:id="1">
    <w:p w:rsidR="00783460" w:rsidRDefault="00783460" w:rsidP="00C0718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F472E">
        <w:rPr>
          <w:sz w:val="18"/>
          <w:szCs w:val="18"/>
        </w:rPr>
        <w:t xml:space="preserve">Zgodnie ze Strategią rozwoju </w:t>
      </w:r>
      <w:proofErr w:type="spellStart"/>
      <w:r w:rsidRPr="00BF472E">
        <w:rPr>
          <w:sz w:val="18"/>
          <w:szCs w:val="18"/>
        </w:rPr>
        <w:t>społeczno</w:t>
      </w:r>
      <w:proofErr w:type="spellEnd"/>
      <w:r w:rsidRPr="00BF472E">
        <w:rPr>
          <w:sz w:val="18"/>
          <w:szCs w:val="18"/>
        </w:rPr>
        <w:t xml:space="preserve"> - gospodarczego województwa warmińsko-mazurskiego do roku 2025 z dnia </w:t>
      </w:r>
      <w:r>
        <w:rPr>
          <w:sz w:val="18"/>
          <w:szCs w:val="18"/>
        </w:rPr>
        <w:br/>
      </w:r>
      <w:r w:rsidR="00C07185">
        <w:rPr>
          <w:sz w:val="18"/>
          <w:szCs w:val="18"/>
        </w:rPr>
        <w:t xml:space="preserve">    </w:t>
      </w:r>
      <w:r w:rsidRPr="00BF472E">
        <w:rPr>
          <w:sz w:val="18"/>
          <w:szCs w:val="18"/>
        </w:rPr>
        <w:t>20 czerwca 2013 r.</w:t>
      </w:r>
    </w:p>
  </w:footnote>
  <w:footnote w:id="2">
    <w:p w:rsidR="00255F5E" w:rsidRPr="00F55559" w:rsidRDefault="00255F5E" w:rsidP="00255F5E">
      <w:pPr>
        <w:pStyle w:val="Tekstprzypisudolnego"/>
        <w:jc w:val="both"/>
        <w:rPr>
          <w:sz w:val="18"/>
          <w:szCs w:val="18"/>
        </w:rPr>
      </w:pPr>
      <w:r w:rsidRPr="00D41DB4">
        <w:rPr>
          <w:rStyle w:val="Odwoanieprzypisudolnego"/>
        </w:rPr>
        <w:footnoteRef/>
      </w:r>
      <w:r w:rsidRPr="00D41DB4">
        <w:t xml:space="preserve"> </w:t>
      </w:r>
      <w:r w:rsidRPr="00F55559">
        <w:rPr>
          <w:sz w:val="18"/>
          <w:szCs w:val="18"/>
        </w:rPr>
        <w:t xml:space="preserve">Analizy SWOT dla poszczególnych specjalizacji ujęte są w raportach z Badania potencjału innowacyjnego i rozwojowego </w:t>
      </w:r>
      <w:r>
        <w:rPr>
          <w:sz w:val="18"/>
          <w:szCs w:val="18"/>
        </w:rPr>
        <w:br/>
        <w:t xml:space="preserve">   </w:t>
      </w:r>
      <w:r w:rsidRPr="00F55559">
        <w:rPr>
          <w:sz w:val="18"/>
          <w:szCs w:val="18"/>
        </w:rPr>
        <w:t xml:space="preserve">przedsiębiorstw funkcjonujących w ramach inteligentnych specjalizacji województwa warmińsko-mazurskiego dostępnych </w:t>
      </w:r>
      <w:r>
        <w:rPr>
          <w:sz w:val="18"/>
          <w:szCs w:val="18"/>
        </w:rPr>
        <w:br/>
        <w:t xml:space="preserve">   </w:t>
      </w:r>
      <w:r w:rsidRPr="00F55559">
        <w:rPr>
          <w:sz w:val="18"/>
          <w:szCs w:val="18"/>
        </w:rPr>
        <w:t>na stronie www.ris.warmia.mazury.pl</w:t>
      </w:r>
    </w:p>
  </w:footnote>
  <w:footnote w:id="3">
    <w:p w:rsidR="00A555A1" w:rsidRPr="00C07185" w:rsidRDefault="00A555A1" w:rsidP="00A555A1">
      <w:pPr>
        <w:pStyle w:val="Tekstprzypisudolnego"/>
        <w:jc w:val="both"/>
        <w:rPr>
          <w:sz w:val="18"/>
          <w:szCs w:val="18"/>
        </w:rPr>
      </w:pPr>
      <w:r w:rsidRPr="007E1758">
        <w:rPr>
          <w:rStyle w:val="Odwoanieprzypisudolnego"/>
        </w:rPr>
        <w:footnoteRef/>
      </w:r>
      <w:r w:rsidRPr="007E1758">
        <w:t xml:space="preserve"> </w:t>
      </w:r>
      <w:r w:rsidRPr="00C07185">
        <w:rPr>
          <w:sz w:val="18"/>
          <w:szCs w:val="18"/>
        </w:rPr>
        <w:t xml:space="preserve">Dotyczy również przypadków, w których Kredyt w ogóle nie zostałby udzielony, gdyby nie został zabezpieczony </w:t>
      </w:r>
      <w:r w:rsidR="00C07185">
        <w:rPr>
          <w:sz w:val="18"/>
          <w:szCs w:val="18"/>
        </w:rPr>
        <w:br/>
        <w:t xml:space="preserve">    </w:t>
      </w:r>
      <w:r w:rsidRPr="00C07185">
        <w:rPr>
          <w:sz w:val="18"/>
          <w:szCs w:val="18"/>
        </w:rPr>
        <w:t xml:space="preserve">Jednostkowym Poręczeniem. Uznaje się przy tym, że spełnienie tego warunku musi zostać wykazane w sposób inny, niż </w:t>
      </w:r>
      <w:r w:rsidR="00C07185">
        <w:rPr>
          <w:sz w:val="18"/>
          <w:szCs w:val="18"/>
        </w:rPr>
        <w:br/>
        <w:t xml:space="preserve">    </w:t>
      </w:r>
      <w:r w:rsidRPr="00C07185">
        <w:rPr>
          <w:sz w:val="18"/>
          <w:szCs w:val="18"/>
        </w:rPr>
        <w:t>tylko poprzez zawarcie Umowy o udzielenie Poręczenia i wypłatę Kredytu.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8D8" w:rsidRDefault="000628D8" w:rsidP="000628D8">
    <w:pPr>
      <w:pStyle w:val="Nagwek"/>
      <w:tabs>
        <w:tab w:val="clear" w:pos="9072"/>
        <w:tab w:val="left" w:pos="3720"/>
        <w:tab w:val="right" w:pos="9639"/>
      </w:tabs>
      <w:ind w:left="567"/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12DEC"/>
    <w:multiLevelType w:val="hybridMultilevel"/>
    <w:tmpl w:val="C2A0E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3065F"/>
    <w:multiLevelType w:val="hybridMultilevel"/>
    <w:tmpl w:val="D78A5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83D0C"/>
    <w:multiLevelType w:val="hybridMultilevel"/>
    <w:tmpl w:val="304AD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C46B6"/>
    <w:multiLevelType w:val="hybridMultilevel"/>
    <w:tmpl w:val="BDF01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01AFE"/>
    <w:multiLevelType w:val="hybridMultilevel"/>
    <w:tmpl w:val="7C08DCD8"/>
    <w:lvl w:ilvl="0" w:tplc="502AD66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74A1FC1"/>
    <w:multiLevelType w:val="hybridMultilevel"/>
    <w:tmpl w:val="AAD4F78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2625253D"/>
    <w:multiLevelType w:val="hybridMultilevel"/>
    <w:tmpl w:val="509857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E32FB"/>
    <w:multiLevelType w:val="hybridMultilevel"/>
    <w:tmpl w:val="D78A5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A3FF8"/>
    <w:multiLevelType w:val="hybridMultilevel"/>
    <w:tmpl w:val="A28A212E"/>
    <w:lvl w:ilvl="0" w:tplc="2A288FD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32B927DB"/>
    <w:multiLevelType w:val="hybridMultilevel"/>
    <w:tmpl w:val="83469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76A89"/>
    <w:multiLevelType w:val="hybridMultilevel"/>
    <w:tmpl w:val="472AA7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534D3"/>
    <w:multiLevelType w:val="hybridMultilevel"/>
    <w:tmpl w:val="D78A5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A27ACE"/>
    <w:multiLevelType w:val="hybridMultilevel"/>
    <w:tmpl w:val="01E403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0056390"/>
    <w:multiLevelType w:val="hybridMultilevel"/>
    <w:tmpl w:val="F432B522"/>
    <w:lvl w:ilvl="0" w:tplc="4D6EF7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22175"/>
    <w:multiLevelType w:val="hybridMultilevel"/>
    <w:tmpl w:val="26B8D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541F3"/>
    <w:multiLevelType w:val="hybridMultilevel"/>
    <w:tmpl w:val="D78A5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C32B07"/>
    <w:multiLevelType w:val="hybridMultilevel"/>
    <w:tmpl w:val="BE7AE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5327C"/>
    <w:multiLevelType w:val="hybridMultilevel"/>
    <w:tmpl w:val="304AD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17"/>
  </w:num>
  <w:num w:numId="5">
    <w:abstractNumId w:val="13"/>
  </w:num>
  <w:num w:numId="6">
    <w:abstractNumId w:val="9"/>
  </w:num>
  <w:num w:numId="7">
    <w:abstractNumId w:val="0"/>
  </w:num>
  <w:num w:numId="8">
    <w:abstractNumId w:val="15"/>
  </w:num>
  <w:num w:numId="9">
    <w:abstractNumId w:val="16"/>
  </w:num>
  <w:num w:numId="10">
    <w:abstractNumId w:val="5"/>
  </w:num>
  <w:num w:numId="11">
    <w:abstractNumId w:val="7"/>
  </w:num>
  <w:num w:numId="12">
    <w:abstractNumId w:val="11"/>
  </w:num>
  <w:num w:numId="13">
    <w:abstractNumId w:val="12"/>
  </w:num>
  <w:num w:numId="14">
    <w:abstractNumId w:val="6"/>
  </w:num>
  <w:num w:numId="15">
    <w:abstractNumId w:val="2"/>
  </w:num>
  <w:num w:numId="16">
    <w:abstractNumId w:val="8"/>
  </w:num>
  <w:num w:numId="17">
    <w:abstractNumId w:val="4"/>
  </w:num>
  <w:num w:numId="18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3476"/>
    <w:rsid w:val="00001587"/>
    <w:rsid w:val="00004874"/>
    <w:rsid w:val="00004BAA"/>
    <w:rsid w:val="00005390"/>
    <w:rsid w:val="00006C7A"/>
    <w:rsid w:val="000104EB"/>
    <w:rsid w:val="00011365"/>
    <w:rsid w:val="0001154A"/>
    <w:rsid w:val="0001266D"/>
    <w:rsid w:val="00013256"/>
    <w:rsid w:val="00015E89"/>
    <w:rsid w:val="00017E0D"/>
    <w:rsid w:val="000220F7"/>
    <w:rsid w:val="000257C6"/>
    <w:rsid w:val="00032669"/>
    <w:rsid w:val="0003299F"/>
    <w:rsid w:val="00036932"/>
    <w:rsid w:val="00042FAE"/>
    <w:rsid w:val="00047003"/>
    <w:rsid w:val="00055219"/>
    <w:rsid w:val="00057BB4"/>
    <w:rsid w:val="000628D8"/>
    <w:rsid w:val="00064290"/>
    <w:rsid w:val="000655FF"/>
    <w:rsid w:val="000656D4"/>
    <w:rsid w:val="000710BD"/>
    <w:rsid w:val="00074CC8"/>
    <w:rsid w:val="000754F1"/>
    <w:rsid w:val="00082A0D"/>
    <w:rsid w:val="00084AA4"/>
    <w:rsid w:val="00085596"/>
    <w:rsid w:val="0008658A"/>
    <w:rsid w:val="00091645"/>
    <w:rsid w:val="00093E1B"/>
    <w:rsid w:val="0009652B"/>
    <w:rsid w:val="00097D21"/>
    <w:rsid w:val="000A2D93"/>
    <w:rsid w:val="000A30EE"/>
    <w:rsid w:val="000A33B0"/>
    <w:rsid w:val="000A4241"/>
    <w:rsid w:val="000A6162"/>
    <w:rsid w:val="000A6705"/>
    <w:rsid w:val="000B023C"/>
    <w:rsid w:val="000B093F"/>
    <w:rsid w:val="000B0A6E"/>
    <w:rsid w:val="000B0B3F"/>
    <w:rsid w:val="000B2812"/>
    <w:rsid w:val="000B2A84"/>
    <w:rsid w:val="000B3AE7"/>
    <w:rsid w:val="000B44AB"/>
    <w:rsid w:val="000B47F3"/>
    <w:rsid w:val="000B60CD"/>
    <w:rsid w:val="000B7F55"/>
    <w:rsid w:val="000C1D62"/>
    <w:rsid w:val="000C3DBC"/>
    <w:rsid w:val="000C3F38"/>
    <w:rsid w:val="000C7F40"/>
    <w:rsid w:val="000D02C6"/>
    <w:rsid w:val="000D325B"/>
    <w:rsid w:val="000D4400"/>
    <w:rsid w:val="000D5507"/>
    <w:rsid w:val="000E11F1"/>
    <w:rsid w:val="000E5FFD"/>
    <w:rsid w:val="000F359B"/>
    <w:rsid w:val="000F5FDE"/>
    <w:rsid w:val="001011D4"/>
    <w:rsid w:val="00104AB4"/>
    <w:rsid w:val="00105A85"/>
    <w:rsid w:val="001069B5"/>
    <w:rsid w:val="00112B1E"/>
    <w:rsid w:val="0011549A"/>
    <w:rsid w:val="00115A26"/>
    <w:rsid w:val="0012204D"/>
    <w:rsid w:val="00123051"/>
    <w:rsid w:val="0012340D"/>
    <w:rsid w:val="00127D68"/>
    <w:rsid w:val="00130E21"/>
    <w:rsid w:val="0013117E"/>
    <w:rsid w:val="00132DBA"/>
    <w:rsid w:val="00133CF9"/>
    <w:rsid w:val="00135B37"/>
    <w:rsid w:val="00136841"/>
    <w:rsid w:val="00140EFF"/>
    <w:rsid w:val="00142D28"/>
    <w:rsid w:val="00143B24"/>
    <w:rsid w:val="00145102"/>
    <w:rsid w:val="001458FD"/>
    <w:rsid w:val="001465A3"/>
    <w:rsid w:val="00146884"/>
    <w:rsid w:val="0015025E"/>
    <w:rsid w:val="00156AE8"/>
    <w:rsid w:val="00160003"/>
    <w:rsid w:val="00161D9F"/>
    <w:rsid w:val="001636D8"/>
    <w:rsid w:val="00163FEE"/>
    <w:rsid w:val="00170B20"/>
    <w:rsid w:val="0017109C"/>
    <w:rsid w:val="00173226"/>
    <w:rsid w:val="00174A6A"/>
    <w:rsid w:val="0017669C"/>
    <w:rsid w:val="00180909"/>
    <w:rsid w:val="00183B2D"/>
    <w:rsid w:val="00184438"/>
    <w:rsid w:val="00184D3D"/>
    <w:rsid w:val="00192DD1"/>
    <w:rsid w:val="00192EB9"/>
    <w:rsid w:val="001930AD"/>
    <w:rsid w:val="001A0635"/>
    <w:rsid w:val="001A538F"/>
    <w:rsid w:val="001A72BC"/>
    <w:rsid w:val="001B0AFD"/>
    <w:rsid w:val="001B152A"/>
    <w:rsid w:val="001B440A"/>
    <w:rsid w:val="001B55E0"/>
    <w:rsid w:val="001B6EA4"/>
    <w:rsid w:val="001B793A"/>
    <w:rsid w:val="001B7EFE"/>
    <w:rsid w:val="001C249F"/>
    <w:rsid w:val="001C6385"/>
    <w:rsid w:val="001C7C93"/>
    <w:rsid w:val="001D0F66"/>
    <w:rsid w:val="001D157B"/>
    <w:rsid w:val="001D22AA"/>
    <w:rsid w:val="001D353E"/>
    <w:rsid w:val="001D4A05"/>
    <w:rsid w:val="001D4DB5"/>
    <w:rsid w:val="001D5855"/>
    <w:rsid w:val="001E3584"/>
    <w:rsid w:val="001E4683"/>
    <w:rsid w:val="001F0850"/>
    <w:rsid w:val="001F0A88"/>
    <w:rsid w:val="001F0E5F"/>
    <w:rsid w:val="001F499D"/>
    <w:rsid w:val="001F5696"/>
    <w:rsid w:val="001F56E5"/>
    <w:rsid w:val="00202E8A"/>
    <w:rsid w:val="0020540B"/>
    <w:rsid w:val="00212BBF"/>
    <w:rsid w:val="00215C03"/>
    <w:rsid w:val="00216CDB"/>
    <w:rsid w:val="00217768"/>
    <w:rsid w:val="002178D6"/>
    <w:rsid w:val="00217957"/>
    <w:rsid w:val="00217E7C"/>
    <w:rsid w:val="00220E6E"/>
    <w:rsid w:val="00224620"/>
    <w:rsid w:val="002252D1"/>
    <w:rsid w:val="00226C27"/>
    <w:rsid w:val="00230113"/>
    <w:rsid w:val="002312CB"/>
    <w:rsid w:val="002341C7"/>
    <w:rsid w:val="00243B6C"/>
    <w:rsid w:val="00243BEF"/>
    <w:rsid w:val="0024663B"/>
    <w:rsid w:val="00247B61"/>
    <w:rsid w:val="00250661"/>
    <w:rsid w:val="002506E4"/>
    <w:rsid w:val="00253E9A"/>
    <w:rsid w:val="00255F5E"/>
    <w:rsid w:val="00257186"/>
    <w:rsid w:val="00257D1A"/>
    <w:rsid w:val="00260A61"/>
    <w:rsid w:val="00260E0D"/>
    <w:rsid w:val="002612FF"/>
    <w:rsid w:val="00261DAB"/>
    <w:rsid w:val="0026482A"/>
    <w:rsid w:val="00270AD2"/>
    <w:rsid w:val="00271FC6"/>
    <w:rsid w:val="00276608"/>
    <w:rsid w:val="002775CE"/>
    <w:rsid w:val="00285AB3"/>
    <w:rsid w:val="00285FD2"/>
    <w:rsid w:val="00286819"/>
    <w:rsid w:val="0029196B"/>
    <w:rsid w:val="00291CB4"/>
    <w:rsid w:val="00294888"/>
    <w:rsid w:val="002959EF"/>
    <w:rsid w:val="002A07D2"/>
    <w:rsid w:val="002A372E"/>
    <w:rsid w:val="002A5AF8"/>
    <w:rsid w:val="002A5C4B"/>
    <w:rsid w:val="002B4929"/>
    <w:rsid w:val="002B6A7C"/>
    <w:rsid w:val="002C03D8"/>
    <w:rsid w:val="002C241B"/>
    <w:rsid w:val="002C26F3"/>
    <w:rsid w:val="002C365A"/>
    <w:rsid w:val="002C3780"/>
    <w:rsid w:val="002C3D2B"/>
    <w:rsid w:val="002C4F6F"/>
    <w:rsid w:val="002C5774"/>
    <w:rsid w:val="002C69B7"/>
    <w:rsid w:val="002D1723"/>
    <w:rsid w:val="002D1C48"/>
    <w:rsid w:val="002D2E5B"/>
    <w:rsid w:val="002D4E44"/>
    <w:rsid w:val="002D5756"/>
    <w:rsid w:val="002D787C"/>
    <w:rsid w:val="002D7DA0"/>
    <w:rsid w:val="002E04A9"/>
    <w:rsid w:val="002E0530"/>
    <w:rsid w:val="002E2E8C"/>
    <w:rsid w:val="002E4B7F"/>
    <w:rsid w:val="002E781C"/>
    <w:rsid w:val="002F1040"/>
    <w:rsid w:val="002F1475"/>
    <w:rsid w:val="002F29DD"/>
    <w:rsid w:val="002F691C"/>
    <w:rsid w:val="002F733D"/>
    <w:rsid w:val="00306D42"/>
    <w:rsid w:val="003077F0"/>
    <w:rsid w:val="00311ED9"/>
    <w:rsid w:val="00312D99"/>
    <w:rsid w:val="0031356C"/>
    <w:rsid w:val="00321759"/>
    <w:rsid w:val="003248D3"/>
    <w:rsid w:val="0032497E"/>
    <w:rsid w:val="00324A48"/>
    <w:rsid w:val="003302F6"/>
    <w:rsid w:val="0033166A"/>
    <w:rsid w:val="003317B9"/>
    <w:rsid w:val="0033262A"/>
    <w:rsid w:val="00333092"/>
    <w:rsid w:val="003408A3"/>
    <w:rsid w:val="00342A20"/>
    <w:rsid w:val="00345E84"/>
    <w:rsid w:val="003467A9"/>
    <w:rsid w:val="00350BC8"/>
    <w:rsid w:val="00350E7D"/>
    <w:rsid w:val="003542B6"/>
    <w:rsid w:val="003562D8"/>
    <w:rsid w:val="00356D33"/>
    <w:rsid w:val="00356D9C"/>
    <w:rsid w:val="00367AE1"/>
    <w:rsid w:val="00371BD7"/>
    <w:rsid w:val="00372591"/>
    <w:rsid w:val="00372A4C"/>
    <w:rsid w:val="00373041"/>
    <w:rsid w:val="00375439"/>
    <w:rsid w:val="00375C1F"/>
    <w:rsid w:val="00381106"/>
    <w:rsid w:val="00381898"/>
    <w:rsid w:val="003821D8"/>
    <w:rsid w:val="003842C2"/>
    <w:rsid w:val="003878E3"/>
    <w:rsid w:val="0038795D"/>
    <w:rsid w:val="00387CF7"/>
    <w:rsid w:val="0039000C"/>
    <w:rsid w:val="00390ACD"/>
    <w:rsid w:val="00391B98"/>
    <w:rsid w:val="00393E7E"/>
    <w:rsid w:val="00395E40"/>
    <w:rsid w:val="00395EBA"/>
    <w:rsid w:val="00397038"/>
    <w:rsid w:val="003A046C"/>
    <w:rsid w:val="003A3953"/>
    <w:rsid w:val="003A4146"/>
    <w:rsid w:val="003A4EA1"/>
    <w:rsid w:val="003A504B"/>
    <w:rsid w:val="003A5526"/>
    <w:rsid w:val="003A59FF"/>
    <w:rsid w:val="003A6895"/>
    <w:rsid w:val="003B37BE"/>
    <w:rsid w:val="003B508A"/>
    <w:rsid w:val="003B5A14"/>
    <w:rsid w:val="003B6053"/>
    <w:rsid w:val="003C1539"/>
    <w:rsid w:val="003C1B34"/>
    <w:rsid w:val="003C7DF0"/>
    <w:rsid w:val="003D0996"/>
    <w:rsid w:val="003D0A16"/>
    <w:rsid w:val="003D3B2B"/>
    <w:rsid w:val="003D6CF0"/>
    <w:rsid w:val="003D712D"/>
    <w:rsid w:val="003D7369"/>
    <w:rsid w:val="003D7A43"/>
    <w:rsid w:val="003F350A"/>
    <w:rsid w:val="003F3A96"/>
    <w:rsid w:val="003F4E58"/>
    <w:rsid w:val="003F5898"/>
    <w:rsid w:val="00401803"/>
    <w:rsid w:val="0040289E"/>
    <w:rsid w:val="00406839"/>
    <w:rsid w:val="004117A9"/>
    <w:rsid w:val="004167D5"/>
    <w:rsid w:val="004179B0"/>
    <w:rsid w:val="00420344"/>
    <w:rsid w:val="004221A2"/>
    <w:rsid w:val="0042222E"/>
    <w:rsid w:val="00423108"/>
    <w:rsid w:val="00425DC1"/>
    <w:rsid w:val="00426000"/>
    <w:rsid w:val="00426470"/>
    <w:rsid w:val="004276BA"/>
    <w:rsid w:val="00434878"/>
    <w:rsid w:val="00435F07"/>
    <w:rsid w:val="00442186"/>
    <w:rsid w:val="00442912"/>
    <w:rsid w:val="00442CCA"/>
    <w:rsid w:val="00443171"/>
    <w:rsid w:val="00445810"/>
    <w:rsid w:val="00445984"/>
    <w:rsid w:val="00453503"/>
    <w:rsid w:val="00455B8B"/>
    <w:rsid w:val="004639B4"/>
    <w:rsid w:val="004710F3"/>
    <w:rsid w:val="00471AFE"/>
    <w:rsid w:val="00472393"/>
    <w:rsid w:val="00476239"/>
    <w:rsid w:val="004800E1"/>
    <w:rsid w:val="00482538"/>
    <w:rsid w:val="00486BD1"/>
    <w:rsid w:val="00492D37"/>
    <w:rsid w:val="00492EAE"/>
    <w:rsid w:val="004A01E8"/>
    <w:rsid w:val="004A5541"/>
    <w:rsid w:val="004B035D"/>
    <w:rsid w:val="004B2285"/>
    <w:rsid w:val="004B7607"/>
    <w:rsid w:val="004C040F"/>
    <w:rsid w:val="004C29BB"/>
    <w:rsid w:val="004C5590"/>
    <w:rsid w:val="004C6837"/>
    <w:rsid w:val="004C6971"/>
    <w:rsid w:val="004D1397"/>
    <w:rsid w:val="004D24F3"/>
    <w:rsid w:val="004D27D7"/>
    <w:rsid w:val="004D617E"/>
    <w:rsid w:val="004D6CDD"/>
    <w:rsid w:val="004E1439"/>
    <w:rsid w:val="004E5FF4"/>
    <w:rsid w:val="004F251E"/>
    <w:rsid w:val="004F4478"/>
    <w:rsid w:val="004F48C3"/>
    <w:rsid w:val="004F61AC"/>
    <w:rsid w:val="00500439"/>
    <w:rsid w:val="00503F45"/>
    <w:rsid w:val="00504729"/>
    <w:rsid w:val="00505F44"/>
    <w:rsid w:val="00507BB4"/>
    <w:rsid w:val="00512574"/>
    <w:rsid w:val="00512E2E"/>
    <w:rsid w:val="00513EB0"/>
    <w:rsid w:val="00516714"/>
    <w:rsid w:val="005234A4"/>
    <w:rsid w:val="0052642A"/>
    <w:rsid w:val="00531E88"/>
    <w:rsid w:val="00532FE4"/>
    <w:rsid w:val="00546AFE"/>
    <w:rsid w:val="0055034C"/>
    <w:rsid w:val="0055197A"/>
    <w:rsid w:val="00551C05"/>
    <w:rsid w:val="00556063"/>
    <w:rsid w:val="00556449"/>
    <w:rsid w:val="005564EF"/>
    <w:rsid w:val="00560A0B"/>
    <w:rsid w:val="00560B36"/>
    <w:rsid w:val="00560D97"/>
    <w:rsid w:val="00561109"/>
    <w:rsid w:val="005620F4"/>
    <w:rsid w:val="00567D7A"/>
    <w:rsid w:val="005719A4"/>
    <w:rsid w:val="00575E5A"/>
    <w:rsid w:val="005762B7"/>
    <w:rsid w:val="00582044"/>
    <w:rsid w:val="005820BE"/>
    <w:rsid w:val="00583D9A"/>
    <w:rsid w:val="00585A52"/>
    <w:rsid w:val="00590BCC"/>
    <w:rsid w:val="00590F8B"/>
    <w:rsid w:val="005932BC"/>
    <w:rsid w:val="00596F7D"/>
    <w:rsid w:val="005A41DA"/>
    <w:rsid w:val="005A665E"/>
    <w:rsid w:val="005B5A6E"/>
    <w:rsid w:val="005C057F"/>
    <w:rsid w:val="005D1377"/>
    <w:rsid w:val="005D1A43"/>
    <w:rsid w:val="005D42AD"/>
    <w:rsid w:val="005E206E"/>
    <w:rsid w:val="005E3FF3"/>
    <w:rsid w:val="005E4DB7"/>
    <w:rsid w:val="005E6F34"/>
    <w:rsid w:val="005E7890"/>
    <w:rsid w:val="005E79B9"/>
    <w:rsid w:val="005F1159"/>
    <w:rsid w:val="005F3EAE"/>
    <w:rsid w:val="005F4843"/>
    <w:rsid w:val="005F4AA7"/>
    <w:rsid w:val="005F51D2"/>
    <w:rsid w:val="00600DFC"/>
    <w:rsid w:val="0060269D"/>
    <w:rsid w:val="00606AB5"/>
    <w:rsid w:val="006072FE"/>
    <w:rsid w:val="006118F6"/>
    <w:rsid w:val="006122B1"/>
    <w:rsid w:val="00612A63"/>
    <w:rsid w:val="0061426C"/>
    <w:rsid w:val="00614CDD"/>
    <w:rsid w:val="00615DF0"/>
    <w:rsid w:val="00617BDC"/>
    <w:rsid w:val="00620C01"/>
    <w:rsid w:val="006213AE"/>
    <w:rsid w:val="006230A2"/>
    <w:rsid w:val="00623A8E"/>
    <w:rsid w:val="00623E3E"/>
    <w:rsid w:val="006265B3"/>
    <w:rsid w:val="00630E18"/>
    <w:rsid w:val="006335D8"/>
    <w:rsid w:val="006344E6"/>
    <w:rsid w:val="00634BB7"/>
    <w:rsid w:val="006351A4"/>
    <w:rsid w:val="006365FE"/>
    <w:rsid w:val="00636B37"/>
    <w:rsid w:val="00636B95"/>
    <w:rsid w:val="00641459"/>
    <w:rsid w:val="0064291E"/>
    <w:rsid w:val="00643AB7"/>
    <w:rsid w:val="00644CFD"/>
    <w:rsid w:val="0064621A"/>
    <w:rsid w:val="00651825"/>
    <w:rsid w:val="00652BF6"/>
    <w:rsid w:val="00652D1B"/>
    <w:rsid w:val="006567E9"/>
    <w:rsid w:val="00656F49"/>
    <w:rsid w:val="00660CDE"/>
    <w:rsid w:val="00661AB2"/>
    <w:rsid w:val="00663600"/>
    <w:rsid w:val="00671C14"/>
    <w:rsid w:val="006723B6"/>
    <w:rsid w:val="00672E84"/>
    <w:rsid w:val="00675EC4"/>
    <w:rsid w:val="006839E1"/>
    <w:rsid w:val="006856FE"/>
    <w:rsid w:val="006875EB"/>
    <w:rsid w:val="00687C78"/>
    <w:rsid w:val="006913BD"/>
    <w:rsid w:val="00692964"/>
    <w:rsid w:val="006A024A"/>
    <w:rsid w:val="006A0C17"/>
    <w:rsid w:val="006A1391"/>
    <w:rsid w:val="006A22D2"/>
    <w:rsid w:val="006B1C8E"/>
    <w:rsid w:val="006B42E8"/>
    <w:rsid w:val="006B4780"/>
    <w:rsid w:val="006B4BF8"/>
    <w:rsid w:val="006B54CB"/>
    <w:rsid w:val="006B6417"/>
    <w:rsid w:val="006C1491"/>
    <w:rsid w:val="006C3479"/>
    <w:rsid w:val="006C3E27"/>
    <w:rsid w:val="006C69EF"/>
    <w:rsid w:val="006D0D5C"/>
    <w:rsid w:val="006D1BB3"/>
    <w:rsid w:val="006D1BBA"/>
    <w:rsid w:val="006D3ACC"/>
    <w:rsid w:val="006D59E2"/>
    <w:rsid w:val="006D5D57"/>
    <w:rsid w:val="006E0449"/>
    <w:rsid w:val="006E309F"/>
    <w:rsid w:val="006E3D31"/>
    <w:rsid w:val="006E7588"/>
    <w:rsid w:val="006F0CBF"/>
    <w:rsid w:val="006F503C"/>
    <w:rsid w:val="00701152"/>
    <w:rsid w:val="00704731"/>
    <w:rsid w:val="00704CA0"/>
    <w:rsid w:val="00711B01"/>
    <w:rsid w:val="007125E6"/>
    <w:rsid w:val="007132E6"/>
    <w:rsid w:val="007133F1"/>
    <w:rsid w:val="00713768"/>
    <w:rsid w:val="00713CB8"/>
    <w:rsid w:val="007153D4"/>
    <w:rsid w:val="00715F39"/>
    <w:rsid w:val="0072263C"/>
    <w:rsid w:val="00723C75"/>
    <w:rsid w:val="00724059"/>
    <w:rsid w:val="007247CE"/>
    <w:rsid w:val="00730601"/>
    <w:rsid w:val="007314E9"/>
    <w:rsid w:val="0073226B"/>
    <w:rsid w:val="00732688"/>
    <w:rsid w:val="0073799C"/>
    <w:rsid w:val="007418CD"/>
    <w:rsid w:val="00743948"/>
    <w:rsid w:val="00744A05"/>
    <w:rsid w:val="00745CC8"/>
    <w:rsid w:val="0075044C"/>
    <w:rsid w:val="00750B55"/>
    <w:rsid w:val="00750FF7"/>
    <w:rsid w:val="007639A4"/>
    <w:rsid w:val="00764FF9"/>
    <w:rsid w:val="007670CD"/>
    <w:rsid w:val="007678C3"/>
    <w:rsid w:val="00770278"/>
    <w:rsid w:val="00775D61"/>
    <w:rsid w:val="00783460"/>
    <w:rsid w:val="0078596C"/>
    <w:rsid w:val="00793B17"/>
    <w:rsid w:val="0079560D"/>
    <w:rsid w:val="007A2919"/>
    <w:rsid w:val="007A361E"/>
    <w:rsid w:val="007A3B55"/>
    <w:rsid w:val="007A566C"/>
    <w:rsid w:val="007A6064"/>
    <w:rsid w:val="007B7B0E"/>
    <w:rsid w:val="007C6557"/>
    <w:rsid w:val="007D39CF"/>
    <w:rsid w:val="007D516C"/>
    <w:rsid w:val="007D55DC"/>
    <w:rsid w:val="007D684A"/>
    <w:rsid w:val="007D6EC6"/>
    <w:rsid w:val="007E1758"/>
    <w:rsid w:val="007E741F"/>
    <w:rsid w:val="007E76BA"/>
    <w:rsid w:val="007F004C"/>
    <w:rsid w:val="007F077A"/>
    <w:rsid w:val="007F3476"/>
    <w:rsid w:val="007F37CD"/>
    <w:rsid w:val="007F40D7"/>
    <w:rsid w:val="007F762C"/>
    <w:rsid w:val="00801D99"/>
    <w:rsid w:val="00801EDD"/>
    <w:rsid w:val="00806B94"/>
    <w:rsid w:val="0081054F"/>
    <w:rsid w:val="008127D1"/>
    <w:rsid w:val="00812FB4"/>
    <w:rsid w:val="00813F33"/>
    <w:rsid w:val="00815FA7"/>
    <w:rsid w:val="00816488"/>
    <w:rsid w:val="00816AE4"/>
    <w:rsid w:val="00816F37"/>
    <w:rsid w:val="00817619"/>
    <w:rsid w:val="00817FA8"/>
    <w:rsid w:val="00820105"/>
    <w:rsid w:val="008219A7"/>
    <w:rsid w:val="008223BA"/>
    <w:rsid w:val="00823E05"/>
    <w:rsid w:val="00824FCF"/>
    <w:rsid w:val="00825D1E"/>
    <w:rsid w:val="008301F4"/>
    <w:rsid w:val="00832041"/>
    <w:rsid w:val="00832942"/>
    <w:rsid w:val="00835117"/>
    <w:rsid w:val="0083527F"/>
    <w:rsid w:val="00836AB5"/>
    <w:rsid w:val="008432FF"/>
    <w:rsid w:val="00851171"/>
    <w:rsid w:val="00853647"/>
    <w:rsid w:val="00853939"/>
    <w:rsid w:val="00854DE4"/>
    <w:rsid w:val="00856C01"/>
    <w:rsid w:val="00861F2D"/>
    <w:rsid w:val="00864E17"/>
    <w:rsid w:val="00865E73"/>
    <w:rsid w:val="008661F0"/>
    <w:rsid w:val="00873DD2"/>
    <w:rsid w:val="0087543C"/>
    <w:rsid w:val="00875A11"/>
    <w:rsid w:val="00883CF7"/>
    <w:rsid w:val="00887CAA"/>
    <w:rsid w:val="00890ECA"/>
    <w:rsid w:val="008937B8"/>
    <w:rsid w:val="00894447"/>
    <w:rsid w:val="00894823"/>
    <w:rsid w:val="008960F7"/>
    <w:rsid w:val="00896476"/>
    <w:rsid w:val="00897B41"/>
    <w:rsid w:val="008A3AB3"/>
    <w:rsid w:val="008B21AF"/>
    <w:rsid w:val="008B24C0"/>
    <w:rsid w:val="008B4ED4"/>
    <w:rsid w:val="008B521E"/>
    <w:rsid w:val="008B7334"/>
    <w:rsid w:val="008B7393"/>
    <w:rsid w:val="008C0645"/>
    <w:rsid w:val="008C1B3F"/>
    <w:rsid w:val="008C21F4"/>
    <w:rsid w:val="008C2F67"/>
    <w:rsid w:val="008C78BF"/>
    <w:rsid w:val="008D0EDC"/>
    <w:rsid w:val="008D364E"/>
    <w:rsid w:val="008D4235"/>
    <w:rsid w:val="008D4C3B"/>
    <w:rsid w:val="008D6546"/>
    <w:rsid w:val="008E3210"/>
    <w:rsid w:val="008E5126"/>
    <w:rsid w:val="008E6256"/>
    <w:rsid w:val="008E6A13"/>
    <w:rsid w:val="008F1222"/>
    <w:rsid w:val="008F2983"/>
    <w:rsid w:val="008F78A8"/>
    <w:rsid w:val="008F7C88"/>
    <w:rsid w:val="00905207"/>
    <w:rsid w:val="00907A1A"/>
    <w:rsid w:val="009146FD"/>
    <w:rsid w:val="00914A5E"/>
    <w:rsid w:val="00916F24"/>
    <w:rsid w:val="009179FE"/>
    <w:rsid w:val="0092067F"/>
    <w:rsid w:val="0092156B"/>
    <w:rsid w:val="00923037"/>
    <w:rsid w:val="00924A2A"/>
    <w:rsid w:val="00925739"/>
    <w:rsid w:val="009274F8"/>
    <w:rsid w:val="00930BB9"/>
    <w:rsid w:val="0093109E"/>
    <w:rsid w:val="009321EF"/>
    <w:rsid w:val="00936103"/>
    <w:rsid w:val="009422C5"/>
    <w:rsid w:val="00943C86"/>
    <w:rsid w:val="00945DDE"/>
    <w:rsid w:val="0094744C"/>
    <w:rsid w:val="00951184"/>
    <w:rsid w:val="00955762"/>
    <w:rsid w:val="00957844"/>
    <w:rsid w:val="00960186"/>
    <w:rsid w:val="00962606"/>
    <w:rsid w:val="009641AE"/>
    <w:rsid w:val="009679CA"/>
    <w:rsid w:val="009736EE"/>
    <w:rsid w:val="00980F77"/>
    <w:rsid w:val="0098172F"/>
    <w:rsid w:val="00981F02"/>
    <w:rsid w:val="0098437E"/>
    <w:rsid w:val="0098739F"/>
    <w:rsid w:val="00987B33"/>
    <w:rsid w:val="009929B6"/>
    <w:rsid w:val="009942E7"/>
    <w:rsid w:val="00995755"/>
    <w:rsid w:val="009966AC"/>
    <w:rsid w:val="00996B79"/>
    <w:rsid w:val="00996C24"/>
    <w:rsid w:val="009A3D44"/>
    <w:rsid w:val="009A40A5"/>
    <w:rsid w:val="009A613C"/>
    <w:rsid w:val="009A7A62"/>
    <w:rsid w:val="009B289E"/>
    <w:rsid w:val="009B44EA"/>
    <w:rsid w:val="009B747B"/>
    <w:rsid w:val="009B7F6A"/>
    <w:rsid w:val="009C3199"/>
    <w:rsid w:val="009C31DE"/>
    <w:rsid w:val="009C39FD"/>
    <w:rsid w:val="009C6A78"/>
    <w:rsid w:val="009C7AA2"/>
    <w:rsid w:val="009D236A"/>
    <w:rsid w:val="009D5EA3"/>
    <w:rsid w:val="009D7CD5"/>
    <w:rsid w:val="009E5CD5"/>
    <w:rsid w:val="009F0142"/>
    <w:rsid w:val="009F1B63"/>
    <w:rsid w:val="009F25B8"/>
    <w:rsid w:val="009F3A30"/>
    <w:rsid w:val="00A02A12"/>
    <w:rsid w:val="00A052DC"/>
    <w:rsid w:val="00A07585"/>
    <w:rsid w:val="00A108E9"/>
    <w:rsid w:val="00A109EB"/>
    <w:rsid w:val="00A125E0"/>
    <w:rsid w:val="00A1317B"/>
    <w:rsid w:val="00A15516"/>
    <w:rsid w:val="00A15591"/>
    <w:rsid w:val="00A17944"/>
    <w:rsid w:val="00A22423"/>
    <w:rsid w:val="00A22BD1"/>
    <w:rsid w:val="00A22D9F"/>
    <w:rsid w:val="00A24218"/>
    <w:rsid w:val="00A30BA4"/>
    <w:rsid w:val="00A342B5"/>
    <w:rsid w:val="00A35454"/>
    <w:rsid w:val="00A36964"/>
    <w:rsid w:val="00A3707B"/>
    <w:rsid w:val="00A37C12"/>
    <w:rsid w:val="00A37DA0"/>
    <w:rsid w:val="00A40AF0"/>
    <w:rsid w:val="00A413AA"/>
    <w:rsid w:val="00A42ACA"/>
    <w:rsid w:val="00A42BEA"/>
    <w:rsid w:val="00A43C29"/>
    <w:rsid w:val="00A5040A"/>
    <w:rsid w:val="00A50BB5"/>
    <w:rsid w:val="00A5139C"/>
    <w:rsid w:val="00A52321"/>
    <w:rsid w:val="00A53009"/>
    <w:rsid w:val="00A542FC"/>
    <w:rsid w:val="00A555A1"/>
    <w:rsid w:val="00A65AFF"/>
    <w:rsid w:val="00A66B06"/>
    <w:rsid w:val="00A70341"/>
    <w:rsid w:val="00A73141"/>
    <w:rsid w:val="00A7377F"/>
    <w:rsid w:val="00A74730"/>
    <w:rsid w:val="00A75652"/>
    <w:rsid w:val="00A75A1D"/>
    <w:rsid w:val="00A763E9"/>
    <w:rsid w:val="00A7791B"/>
    <w:rsid w:val="00A824B1"/>
    <w:rsid w:val="00A82C46"/>
    <w:rsid w:val="00A83D9F"/>
    <w:rsid w:val="00A84653"/>
    <w:rsid w:val="00A84AE8"/>
    <w:rsid w:val="00A85E72"/>
    <w:rsid w:val="00A86513"/>
    <w:rsid w:val="00A87DFD"/>
    <w:rsid w:val="00A91D24"/>
    <w:rsid w:val="00A94A3F"/>
    <w:rsid w:val="00A9645C"/>
    <w:rsid w:val="00A977DC"/>
    <w:rsid w:val="00AA1717"/>
    <w:rsid w:val="00AA191B"/>
    <w:rsid w:val="00AA2D4C"/>
    <w:rsid w:val="00AA2FCD"/>
    <w:rsid w:val="00AA339E"/>
    <w:rsid w:val="00AA60B8"/>
    <w:rsid w:val="00AB11BD"/>
    <w:rsid w:val="00AB1623"/>
    <w:rsid w:val="00AB4A3A"/>
    <w:rsid w:val="00AB4E3C"/>
    <w:rsid w:val="00AB6B09"/>
    <w:rsid w:val="00AB7783"/>
    <w:rsid w:val="00AC2206"/>
    <w:rsid w:val="00AC326E"/>
    <w:rsid w:val="00AC5857"/>
    <w:rsid w:val="00AC5BD0"/>
    <w:rsid w:val="00AC79F9"/>
    <w:rsid w:val="00AC7FAD"/>
    <w:rsid w:val="00AD0C8F"/>
    <w:rsid w:val="00AD2DF9"/>
    <w:rsid w:val="00AD2E51"/>
    <w:rsid w:val="00AD41A8"/>
    <w:rsid w:val="00AD44C4"/>
    <w:rsid w:val="00AD6698"/>
    <w:rsid w:val="00AE004A"/>
    <w:rsid w:val="00AE124C"/>
    <w:rsid w:val="00AE2F50"/>
    <w:rsid w:val="00AE4746"/>
    <w:rsid w:val="00AE6514"/>
    <w:rsid w:val="00AE7DAF"/>
    <w:rsid w:val="00AF2185"/>
    <w:rsid w:val="00AF39A9"/>
    <w:rsid w:val="00AF520F"/>
    <w:rsid w:val="00AF7DCD"/>
    <w:rsid w:val="00B00205"/>
    <w:rsid w:val="00B02E9D"/>
    <w:rsid w:val="00B02ED1"/>
    <w:rsid w:val="00B032D8"/>
    <w:rsid w:val="00B036B0"/>
    <w:rsid w:val="00B05D2E"/>
    <w:rsid w:val="00B06A05"/>
    <w:rsid w:val="00B07133"/>
    <w:rsid w:val="00B12AB2"/>
    <w:rsid w:val="00B13F00"/>
    <w:rsid w:val="00B145A5"/>
    <w:rsid w:val="00B14D18"/>
    <w:rsid w:val="00B15F87"/>
    <w:rsid w:val="00B16210"/>
    <w:rsid w:val="00B16BAC"/>
    <w:rsid w:val="00B216AB"/>
    <w:rsid w:val="00B22F89"/>
    <w:rsid w:val="00B24BA7"/>
    <w:rsid w:val="00B2577F"/>
    <w:rsid w:val="00B306CD"/>
    <w:rsid w:val="00B31C30"/>
    <w:rsid w:val="00B31D56"/>
    <w:rsid w:val="00B325F1"/>
    <w:rsid w:val="00B34267"/>
    <w:rsid w:val="00B35B26"/>
    <w:rsid w:val="00B368F2"/>
    <w:rsid w:val="00B3699C"/>
    <w:rsid w:val="00B409E9"/>
    <w:rsid w:val="00B45306"/>
    <w:rsid w:val="00B459BB"/>
    <w:rsid w:val="00B50453"/>
    <w:rsid w:val="00B52C7C"/>
    <w:rsid w:val="00B53EB0"/>
    <w:rsid w:val="00B62DBC"/>
    <w:rsid w:val="00B64050"/>
    <w:rsid w:val="00B64F08"/>
    <w:rsid w:val="00B655C1"/>
    <w:rsid w:val="00B67FDC"/>
    <w:rsid w:val="00B72E46"/>
    <w:rsid w:val="00B743C7"/>
    <w:rsid w:val="00B76079"/>
    <w:rsid w:val="00B77E7B"/>
    <w:rsid w:val="00B81509"/>
    <w:rsid w:val="00B840EB"/>
    <w:rsid w:val="00B87FA9"/>
    <w:rsid w:val="00B904C3"/>
    <w:rsid w:val="00B90701"/>
    <w:rsid w:val="00B91509"/>
    <w:rsid w:val="00B91BA3"/>
    <w:rsid w:val="00B92142"/>
    <w:rsid w:val="00B937E3"/>
    <w:rsid w:val="00B943A6"/>
    <w:rsid w:val="00B966A6"/>
    <w:rsid w:val="00B96ACF"/>
    <w:rsid w:val="00B96EE8"/>
    <w:rsid w:val="00B97436"/>
    <w:rsid w:val="00BA2C05"/>
    <w:rsid w:val="00BA332F"/>
    <w:rsid w:val="00BA3860"/>
    <w:rsid w:val="00BA715F"/>
    <w:rsid w:val="00BA72F6"/>
    <w:rsid w:val="00BB01A7"/>
    <w:rsid w:val="00BB24DD"/>
    <w:rsid w:val="00BB2787"/>
    <w:rsid w:val="00BD099A"/>
    <w:rsid w:val="00BD244A"/>
    <w:rsid w:val="00BD25F6"/>
    <w:rsid w:val="00BE19AD"/>
    <w:rsid w:val="00BE30E0"/>
    <w:rsid w:val="00BE38A4"/>
    <w:rsid w:val="00BE50AD"/>
    <w:rsid w:val="00BE6794"/>
    <w:rsid w:val="00BF1133"/>
    <w:rsid w:val="00BF3408"/>
    <w:rsid w:val="00BF6A4A"/>
    <w:rsid w:val="00C0089A"/>
    <w:rsid w:val="00C02D1A"/>
    <w:rsid w:val="00C02FB1"/>
    <w:rsid w:val="00C03C2D"/>
    <w:rsid w:val="00C040E3"/>
    <w:rsid w:val="00C043CB"/>
    <w:rsid w:val="00C05825"/>
    <w:rsid w:val="00C064B8"/>
    <w:rsid w:val="00C0713D"/>
    <w:rsid w:val="00C07185"/>
    <w:rsid w:val="00C13073"/>
    <w:rsid w:val="00C13B95"/>
    <w:rsid w:val="00C1570D"/>
    <w:rsid w:val="00C157FC"/>
    <w:rsid w:val="00C16464"/>
    <w:rsid w:val="00C16B53"/>
    <w:rsid w:val="00C2116F"/>
    <w:rsid w:val="00C22F08"/>
    <w:rsid w:val="00C24145"/>
    <w:rsid w:val="00C24951"/>
    <w:rsid w:val="00C2573D"/>
    <w:rsid w:val="00C262C9"/>
    <w:rsid w:val="00C34FEE"/>
    <w:rsid w:val="00C3547D"/>
    <w:rsid w:val="00C35938"/>
    <w:rsid w:val="00C37E98"/>
    <w:rsid w:val="00C41FDC"/>
    <w:rsid w:val="00C435A1"/>
    <w:rsid w:val="00C44915"/>
    <w:rsid w:val="00C44BD9"/>
    <w:rsid w:val="00C47D98"/>
    <w:rsid w:val="00C5074A"/>
    <w:rsid w:val="00C50E43"/>
    <w:rsid w:val="00C521D7"/>
    <w:rsid w:val="00C534CD"/>
    <w:rsid w:val="00C53BC3"/>
    <w:rsid w:val="00C55797"/>
    <w:rsid w:val="00C57624"/>
    <w:rsid w:val="00C64973"/>
    <w:rsid w:val="00C6651D"/>
    <w:rsid w:val="00C679B4"/>
    <w:rsid w:val="00C708C5"/>
    <w:rsid w:val="00C71E03"/>
    <w:rsid w:val="00C747C0"/>
    <w:rsid w:val="00C81317"/>
    <w:rsid w:val="00C82AC1"/>
    <w:rsid w:val="00C87B8F"/>
    <w:rsid w:val="00C90842"/>
    <w:rsid w:val="00C91855"/>
    <w:rsid w:val="00C94198"/>
    <w:rsid w:val="00C97022"/>
    <w:rsid w:val="00C973E3"/>
    <w:rsid w:val="00CA2150"/>
    <w:rsid w:val="00CA45FD"/>
    <w:rsid w:val="00CA6334"/>
    <w:rsid w:val="00CB02C7"/>
    <w:rsid w:val="00CB0854"/>
    <w:rsid w:val="00CB3734"/>
    <w:rsid w:val="00CB379E"/>
    <w:rsid w:val="00CB423A"/>
    <w:rsid w:val="00CB783B"/>
    <w:rsid w:val="00CC1D13"/>
    <w:rsid w:val="00CC1E53"/>
    <w:rsid w:val="00CC6327"/>
    <w:rsid w:val="00CD17FC"/>
    <w:rsid w:val="00CD3908"/>
    <w:rsid w:val="00CD43B1"/>
    <w:rsid w:val="00CE0620"/>
    <w:rsid w:val="00CE2B58"/>
    <w:rsid w:val="00CE36D6"/>
    <w:rsid w:val="00CE38A1"/>
    <w:rsid w:val="00CE3FE8"/>
    <w:rsid w:val="00CE47B2"/>
    <w:rsid w:val="00CF0A87"/>
    <w:rsid w:val="00CF3AA3"/>
    <w:rsid w:val="00CF406C"/>
    <w:rsid w:val="00CF5964"/>
    <w:rsid w:val="00CF6087"/>
    <w:rsid w:val="00CF74E8"/>
    <w:rsid w:val="00D00269"/>
    <w:rsid w:val="00D00352"/>
    <w:rsid w:val="00D03B50"/>
    <w:rsid w:val="00D04785"/>
    <w:rsid w:val="00D06864"/>
    <w:rsid w:val="00D07AE3"/>
    <w:rsid w:val="00D108B7"/>
    <w:rsid w:val="00D10EEA"/>
    <w:rsid w:val="00D1386F"/>
    <w:rsid w:val="00D14014"/>
    <w:rsid w:val="00D1547D"/>
    <w:rsid w:val="00D16AE2"/>
    <w:rsid w:val="00D16CE5"/>
    <w:rsid w:val="00D17F7A"/>
    <w:rsid w:val="00D2134D"/>
    <w:rsid w:val="00D22D06"/>
    <w:rsid w:val="00D300D9"/>
    <w:rsid w:val="00D30604"/>
    <w:rsid w:val="00D30EF7"/>
    <w:rsid w:val="00D3188C"/>
    <w:rsid w:val="00D32258"/>
    <w:rsid w:val="00D32784"/>
    <w:rsid w:val="00D33665"/>
    <w:rsid w:val="00D33D51"/>
    <w:rsid w:val="00D36C13"/>
    <w:rsid w:val="00D37BFE"/>
    <w:rsid w:val="00D41189"/>
    <w:rsid w:val="00D41562"/>
    <w:rsid w:val="00D421F8"/>
    <w:rsid w:val="00D42CC1"/>
    <w:rsid w:val="00D458AE"/>
    <w:rsid w:val="00D47B03"/>
    <w:rsid w:val="00D51387"/>
    <w:rsid w:val="00D5293F"/>
    <w:rsid w:val="00D54BF0"/>
    <w:rsid w:val="00D55B08"/>
    <w:rsid w:val="00D60295"/>
    <w:rsid w:val="00D607F4"/>
    <w:rsid w:val="00D6201E"/>
    <w:rsid w:val="00D6349E"/>
    <w:rsid w:val="00D65481"/>
    <w:rsid w:val="00D65A51"/>
    <w:rsid w:val="00D72393"/>
    <w:rsid w:val="00D758FE"/>
    <w:rsid w:val="00D75CA2"/>
    <w:rsid w:val="00D762B3"/>
    <w:rsid w:val="00D77BFD"/>
    <w:rsid w:val="00D82267"/>
    <w:rsid w:val="00D84DAF"/>
    <w:rsid w:val="00D85AED"/>
    <w:rsid w:val="00D86D85"/>
    <w:rsid w:val="00D904DE"/>
    <w:rsid w:val="00D92147"/>
    <w:rsid w:val="00D94AF1"/>
    <w:rsid w:val="00D95379"/>
    <w:rsid w:val="00D954C3"/>
    <w:rsid w:val="00D95B36"/>
    <w:rsid w:val="00DA2DB9"/>
    <w:rsid w:val="00DA3A23"/>
    <w:rsid w:val="00DA6C04"/>
    <w:rsid w:val="00DB1308"/>
    <w:rsid w:val="00DB22E5"/>
    <w:rsid w:val="00DC073D"/>
    <w:rsid w:val="00DC3310"/>
    <w:rsid w:val="00DC3B99"/>
    <w:rsid w:val="00DC5FB9"/>
    <w:rsid w:val="00DD09BB"/>
    <w:rsid w:val="00DD1BC5"/>
    <w:rsid w:val="00DD2560"/>
    <w:rsid w:val="00DD3918"/>
    <w:rsid w:val="00DE51B0"/>
    <w:rsid w:val="00DE57E0"/>
    <w:rsid w:val="00DE5C2F"/>
    <w:rsid w:val="00DF2E7A"/>
    <w:rsid w:val="00DF50CF"/>
    <w:rsid w:val="00DF57F8"/>
    <w:rsid w:val="00DF7473"/>
    <w:rsid w:val="00E0013A"/>
    <w:rsid w:val="00E0076C"/>
    <w:rsid w:val="00E010F0"/>
    <w:rsid w:val="00E0792E"/>
    <w:rsid w:val="00E10FA7"/>
    <w:rsid w:val="00E132AD"/>
    <w:rsid w:val="00E201A9"/>
    <w:rsid w:val="00E24875"/>
    <w:rsid w:val="00E25D13"/>
    <w:rsid w:val="00E30772"/>
    <w:rsid w:val="00E31185"/>
    <w:rsid w:val="00E35CB3"/>
    <w:rsid w:val="00E36C56"/>
    <w:rsid w:val="00E429F4"/>
    <w:rsid w:val="00E42B92"/>
    <w:rsid w:val="00E42C4B"/>
    <w:rsid w:val="00E45E71"/>
    <w:rsid w:val="00E54690"/>
    <w:rsid w:val="00E551CF"/>
    <w:rsid w:val="00E55C80"/>
    <w:rsid w:val="00E56BAB"/>
    <w:rsid w:val="00E571E6"/>
    <w:rsid w:val="00E5741F"/>
    <w:rsid w:val="00E60EDC"/>
    <w:rsid w:val="00E6141A"/>
    <w:rsid w:val="00E62AB5"/>
    <w:rsid w:val="00E63370"/>
    <w:rsid w:val="00E6406C"/>
    <w:rsid w:val="00E66894"/>
    <w:rsid w:val="00E66BAA"/>
    <w:rsid w:val="00E7096A"/>
    <w:rsid w:val="00E70D42"/>
    <w:rsid w:val="00E80012"/>
    <w:rsid w:val="00E8011A"/>
    <w:rsid w:val="00E80250"/>
    <w:rsid w:val="00E805AD"/>
    <w:rsid w:val="00E83C26"/>
    <w:rsid w:val="00E86246"/>
    <w:rsid w:val="00E86D71"/>
    <w:rsid w:val="00E90983"/>
    <w:rsid w:val="00E94440"/>
    <w:rsid w:val="00E9713B"/>
    <w:rsid w:val="00EA03E6"/>
    <w:rsid w:val="00EA6A1B"/>
    <w:rsid w:val="00EB2075"/>
    <w:rsid w:val="00EB2B86"/>
    <w:rsid w:val="00EB2E6F"/>
    <w:rsid w:val="00EB5E87"/>
    <w:rsid w:val="00EB696A"/>
    <w:rsid w:val="00EC1049"/>
    <w:rsid w:val="00EC1D95"/>
    <w:rsid w:val="00EC3622"/>
    <w:rsid w:val="00ED33BE"/>
    <w:rsid w:val="00ED5790"/>
    <w:rsid w:val="00ED6923"/>
    <w:rsid w:val="00EE0456"/>
    <w:rsid w:val="00EE07F6"/>
    <w:rsid w:val="00EE177E"/>
    <w:rsid w:val="00EE2193"/>
    <w:rsid w:val="00EE32CB"/>
    <w:rsid w:val="00EE7131"/>
    <w:rsid w:val="00EF5A95"/>
    <w:rsid w:val="00EF5F4D"/>
    <w:rsid w:val="00F005A7"/>
    <w:rsid w:val="00F00D88"/>
    <w:rsid w:val="00F0145B"/>
    <w:rsid w:val="00F1070D"/>
    <w:rsid w:val="00F116B4"/>
    <w:rsid w:val="00F12690"/>
    <w:rsid w:val="00F14FB2"/>
    <w:rsid w:val="00F2162E"/>
    <w:rsid w:val="00F21737"/>
    <w:rsid w:val="00F25628"/>
    <w:rsid w:val="00F2613D"/>
    <w:rsid w:val="00F27C45"/>
    <w:rsid w:val="00F30E1D"/>
    <w:rsid w:val="00F31DB6"/>
    <w:rsid w:val="00F325C5"/>
    <w:rsid w:val="00F33B9C"/>
    <w:rsid w:val="00F348B2"/>
    <w:rsid w:val="00F351F2"/>
    <w:rsid w:val="00F378FC"/>
    <w:rsid w:val="00F406B9"/>
    <w:rsid w:val="00F423B5"/>
    <w:rsid w:val="00F44334"/>
    <w:rsid w:val="00F52F25"/>
    <w:rsid w:val="00F5372C"/>
    <w:rsid w:val="00F53EB5"/>
    <w:rsid w:val="00F60196"/>
    <w:rsid w:val="00F60DBF"/>
    <w:rsid w:val="00F628AD"/>
    <w:rsid w:val="00F64995"/>
    <w:rsid w:val="00F65306"/>
    <w:rsid w:val="00F66BAE"/>
    <w:rsid w:val="00F6709F"/>
    <w:rsid w:val="00F715C6"/>
    <w:rsid w:val="00F74399"/>
    <w:rsid w:val="00F75CDC"/>
    <w:rsid w:val="00F81EB7"/>
    <w:rsid w:val="00F8303A"/>
    <w:rsid w:val="00F83BE6"/>
    <w:rsid w:val="00F83E0A"/>
    <w:rsid w:val="00F84B8F"/>
    <w:rsid w:val="00F905AB"/>
    <w:rsid w:val="00F91ABF"/>
    <w:rsid w:val="00F92B94"/>
    <w:rsid w:val="00F93465"/>
    <w:rsid w:val="00F93CC2"/>
    <w:rsid w:val="00F946F0"/>
    <w:rsid w:val="00F94CC8"/>
    <w:rsid w:val="00FA4F1E"/>
    <w:rsid w:val="00FA625F"/>
    <w:rsid w:val="00FA7D0F"/>
    <w:rsid w:val="00FB10B5"/>
    <w:rsid w:val="00FB1F4B"/>
    <w:rsid w:val="00FB2DCE"/>
    <w:rsid w:val="00FB34CE"/>
    <w:rsid w:val="00FB5BEE"/>
    <w:rsid w:val="00FB7024"/>
    <w:rsid w:val="00FC0E66"/>
    <w:rsid w:val="00FC20D9"/>
    <w:rsid w:val="00FC233D"/>
    <w:rsid w:val="00FC6181"/>
    <w:rsid w:val="00FC7CAD"/>
    <w:rsid w:val="00FD188F"/>
    <w:rsid w:val="00FD63AB"/>
    <w:rsid w:val="00FE2F9F"/>
    <w:rsid w:val="00FE3D95"/>
    <w:rsid w:val="00FE7F9F"/>
    <w:rsid w:val="00FF1CAB"/>
    <w:rsid w:val="00FF2FB9"/>
    <w:rsid w:val="00FF3863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1499F"/>
  <w15:docId w15:val="{3CC43CCE-7F46-4CFB-89F5-A9301A78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34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nowy"/>
    <w:basedOn w:val="Standardowy"/>
    <w:uiPriority w:val="39"/>
    <w:rsid w:val="007F3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F347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36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6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6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6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6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6D6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Znak1,single space,FOOTNOTES,fn,Podrozdział,Fußnote,Footnote,Podrozdzia3,przypis,Tekst przypisu,Tekst przypisu Znak Znak Znak Znak,Tekst przypisu Znak Znak Znak Znak Znak,Tekst przypisu Znak Znak Znak Znak Znak Znak Znak,f,ft"/>
    <w:basedOn w:val="Normalny"/>
    <w:link w:val="TekstprzypisudolnegoZnak"/>
    <w:uiPriority w:val="99"/>
    <w:unhideWhenUsed/>
    <w:qFormat/>
    <w:rsid w:val="00BA38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Znak1 Znak,single space Znak,FOOTNOTES Znak,fn Znak,Podrozdział Znak,Fußnote Znak,Footnote Znak,Podrozdzia3 Znak,przypis Znak,Tekst przypisu Znak,Tekst przypisu Znak Znak Znak Znak Znak1,f Znak,ft Znak"/>
    <w:basedOn w:val="Domylnaczcionkaakapitu"/>
    <w:link w:val="Tekstprzypisudolnego"/>
    <w:uiPriority w:val="99"/>
    <w:rsid w:val="00BA3860"/>
    <w:rPr>
      <w:sz w:val="20"/>
      <w:szCs w:val="20"/>
    </w:rPr>
  </w:style>
  <w:style w:type="character" w:styleId="Odwoanieprzypisudolnego">
    <w:name w:val="footnote reference"/>
    <w:aliases w:val="Footnote Reference Number,Odwołanie przypisu,Odwo³anie przypisu,Footnote Reference Superscript,Footnote Reference/,Footnote symbol,Times 10 Point,Exposant 3 Point,footnote ref,richiamo note eggsi,Rimando nota a piè di pagina1"/>
    <w:basedOn w:val="Domylnaczcionkaakapitu"/>
    <w:uiPriority w:val="99"/>
    <w:unhideWhenUsed/>
    <w:rsid w:val="00BA3860"/>
    <w:rPr>
      <w:vertAlign w:val="superscript"/>
    </w:rPr>
  </w:style>
  <w:style w:type="paragraph" w:styleId="Poprawka">
    <w:name w:val="Revision"/>
    <w:hidden/>
    <w:uiPriority w:val="99"/>
    <w:semiHidden/>
    <w:rsid w:val="006D1BB3"/>
    <w:pPr>
      <w:spacing w:after="0" w:line="240" w:lineRule="auto"/>
    </w:pPr>
  </w:style>
  <w:style w:type="paragraph" w:customStyle="1" w:styleId="Default">
    <w:name w:val="Default"/>
    <w:rsid w:val="00F26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5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A95"/>
  </w:style>
  <w:style w:type="paragraph" w:styleId="Stopka">
    <w:name w:val="footer"/>
    <w:basedOn w:val="Normalny"/>
    <w:link w:val="StopkaZnak"/>
    <w:uiPriority w:val="99"/>
    <w:unhideWhenUsed/>
    <w:rsid w:val="00EF5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A95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30EF7"/>
  </w:style>
  <w:style w:type="character" w:styleId="Uwydatnienie">
    <w:name w:val="Emphasis"/>
    <w:basedOn w:val="Domylnaczcionkaakapitu"/>
    <w:uiPriority w:val="20"/>
    <w:qFormat/>
    <w:rsid w:val="00B50453"/>
    <w:rPr>
      <w:i/>
      <w:iCs/>
    </w:rPr>
  </w:style>
  <w:style w:type="character" w:customStyle="1" w:styleId="StopkaZnak1">
    <w:name w:val="Stopka Znak1"/>
    <w:basedOn w:val="Domylnaczcionkaakapitu"/>
    <w:uiPriority w:val="99"/>
    <w:locked/>
    <w:rsid w:val="000628D8"/>
    <w:rPr>
      <w:rFonts w:ascii="Arial" w:hAnsi="Arial"/>
      <w:sz w:val="20"/>
    </w:rPr>
  </w:style>
  <w:style w:type="character" w:customStyle="1" w:styleId="NagwekZnak1">
    <w:name w:val="Nagłówek Znak1"/>
    <w:basedOn w:val="Domylnaczcionkaakapitu"/>
    <w:uiPriority w:val="99"/>
    <w:locked/>
    <w:rsid w:val="000628D8"/>
    <w:rPr>
      <w:rFonts w:ascii="Arial" w:hAnsi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92DDC-D823-46B2-A3E1-470D143A8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1736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12128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Jakubowski Bartlomiej</dc:creator>
  <cp:lastModifiedBy>Warmińsko-Mazurski Fundusz  "Poręczenia-Kredytowe" Warmińsko-Mazurski Fundusz  "Poręczenia-Kredytowe"</cp:lastModifiedBy>
  <cp:revision>42</cp:revision>
  <cp:lastPrinted>2017-10-05T08:03:00Z</cp:lastPrinted>
  <dcterms:created xsi:type="dcterms:W3CDTF">2017-12-15T11:14:00Z</dcterms:created>
  <dcterms:modified xsi:type="dcterms:W3CDTF">2019-04-11T10:44:00Z</dcterms:modified>
</cp:coreProperties>
</file>